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System Design Specification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QCL-2026-DS-001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QCL-2026-DS-001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Design objectives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design separates regulated business logic, integration processing, identity, storage and long-term archive. It supports least privilege, immutable history, failure detection, reconciliation and recovery.</w:t>
      </w:r>
    </w:p>
    <w:p>
      <w:pPr>
        <w:pStyle w:val="Heading1"/>
      </w:pPr>
      <w:r>
        <w:t>2. Logical architecture</w:t>
      </w:r>
    </w:p>
    <w:p>
      <w:pPr>
        <w:spacing w:after="40"/>
      </w:pPr>
      <w:r>
        <w:rPr>
          <w:rFonts w:ascii="Calibri" w:hAnsi="Calibri"/>
          <w:b/>
          <w:color w:val="595959"/>
          <w:sz w:val="18"/>
        </w:rPr>
        <w:t>Diagram source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</w:r>
            <w:r>
              <w:rPr>
                <w:rFonts w:ascii="Consolas" w:hAnsi="Consolas"/>
                <w:b w:val="0"/>
                <w:color w:val="000000"/>
                <w:sz w:val="17"/>
              </w:rPr>
              <w:t>flowchart LR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U[QC/QA users] --&gt;|HTTPS + SAML| W[QCLabOne Web Application]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ID[Corporate Identity] --&gt;|SAML claims| W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W --&gt; APP[Application Services]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APP --&gt; DB[(Managed PostgreSQL)]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APP --&gt; OBJ[(Encrypted Attachment Store)]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APP --&gt; AUD[(Protected Audit Store)]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SAP[SAP S/4HANA] &lt;--&gt; GW[QCL-IGW-01 Interface Gateway]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EQM[QualiTrack eQMS] &lt;--&gt; GW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CDS[ChromLink CDS/SDMS] --&gt; GW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INS[Balances, pH, TOC] --&gt; GW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GW &lt;--&gt; APP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APP --&gt; ARC[ArchiveVault]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DB --&gt; BAK[Backup/DR Platform]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OBJ --&gt; BAK</w:t>
            </w:r>
          </w:p>
        </w:tc>
      </w:tr>
    </w:tbl>
    <w:p>
      <w:pPr>
        <w:pStyle w:val="Heading1"/>
      </w:pPr>
      <w:r>
        <w:t>3. Design components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360"/>
        <w:gridCol w:w="440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Component</w:t>
            </w:r>
          </w:p>
        </w:tc>
        <w:tc>
          <w:tcPr>
            <w:tcW w:type="dxa" w:w="33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Design responsibility</w:t>
            </w:r>
          </w:p>
        </w:tc>
        <w:tc>
          <w:tcPr>
            <w:tcW w:type="dxa" w:w="44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Key control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Web/application tier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Supplier-managed clustered service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Environment/version banner, TLS, health monitoring, controlled deployment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Database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Managed PostgreSQL service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Encryption, transaction integrity, point-in-time recovery, restricted administration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Attachment store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Encrypted object storage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Versioning, checksum and backup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store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Append-only protected service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 routine update/delete; searchable export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gateway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On-site hardened virtual server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Protocol transformation, validation, idempotency, queue and reconciliation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Identity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Corporate SAML federation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Unique individual identity and approved role claims</w:t>
            </w:r>
          </w:p>
        </w:tc>
      </w:tr>
      <w:t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</w:t>
            </w:r>
          </w:p>
        </w:tc>
        <w:tc>
          <w:tcPr>
            <w:tcW w:type="dxa" w:w="33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ArchiveVault read-only repository</w:t>
            </w:r>
          </w:p>
        </w:tc>
        <w:tc>
          <w:tcPr>
            <w:tcW w:type="dxa" w:w="4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Manifest/checksum validation and long-term retrievability</w:t>
            </w:r>
          </w:p>
        </w:tc>
      </w:tr>
    </w:tbl>
    <w:p>
      <w:pPr>
        <w:spacing w:after="80"/>
      </w:pPr>
    </w:p>
    <w:p>
      <w:pPr>
        <w:pStyle w:val="Heading1"/>
      </w:pPr>
      <w:r>
        <w:t>4. Environment model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Development, supplier test, site validation, training and production environments are logically separated. Production data is not copied to lower environments unless masked and approved. Promotion follows DEV → TEST → VAL → PROD using signed release packages and checksums.</w:t>
      </w:r>
    </w:p>
    <w:p>
      <w:pPr>
        <w:pStyle w:val="Heading1"/>
      </w:pPr>
      <w:r>
        <w:t>5. Data and transaction design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Each business entity has a globally unique identifier and version. State-changing transactions are atomic. Failed interface processing does not create partial business records. Historical specification, method, calculation and role context is stored with or referenced by the regulated record.</w:t>
      </w:r>
    </w:p>
    <w:p>
      <w:pPr>
        <w:pStyle w:val="Heading1"/>
      </w:pPr>
      <w:r>
        <w:t>6. Security design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Authentication is federated; authorization is role-based. Service accounts are non-interactive. Privileged access is just-in-time. Secrets are stored in the approved vault. All external connections use authenticated encrypted protocols. No ordinary role has database or audit-store write access.</w:t>
      </w:r>
    </w:p>
    <w:p>
      <w:pPr>
        <w:pStyle w:val="Heading1"/>
      </w:pPr>
      <w:r>
        <w:t>7. Availability and recovery design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The application runs on redundant nodes. Database replication and 15-minute RPO controls support DR. Gateway queues persist across restart. Monitoring covers availability, backlog, failed messages, certificate expiry, backup and time synchronization.</w:t>
      </w:r>
    </w:p>
    <w:p>
      <w:pPr>
        <w:pStyle w:val="Heading1"/>
      </w:pPr>
      <w:r>
        <w:t>8.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QCL-2026-CYB-001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[Cybersecurity and Privacy Impact Assessment](014_Cybersecurity_and_Privacy_Impact_Assessment.md)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QCL-2026-SDL-001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[Supplier Documentation Leveraging Assessment](021_Supplier_Documentation_Leveraging_Assessment.md)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Specification](025_Configuration_Specification.md)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QCL-2026-IAD-001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[Infrastructure and Architecture Design](026_Infrastructure_and_Architecture_Design.md)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Control Specification](027_Interface_Control_Specification.md)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Flow, Data Dictionary and Metadata Specification](028_Data_Flow_Data_Dictionary_and_Metadata_Specification.md)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Specification](034_Backup_and_Restore_Specification.md)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[Business Continuity and Disaster Recovery Plan](035_Business_Continuity_and_Disaster_Recovery_Plan.md)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QCL-2026-BLD-001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[Installation, Build and Configuration Record](040_Installation_Build_and_Configuration_Record.md)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QCL-2026-CIR-001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Item and Version Register](041_Configuration_Item_and_Version_Register.md)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Solution Architect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CSV Lead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QCL-2026-DS-001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QCL-2026-DS-001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Design Specification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