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Configuration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specification defines the approved site configuration baseline. Values are promoted to production only through controlled release and are verified in OQ/PQ.</w:t>
      </w:r>
    </w:p>
    <w:p>
      <w:pPr>
        <w:pStyle w:val="Heading1"/>
      </w:pPr>
      <w:r>
        <w:t>2. Configuration parameters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94"/>
        <w:gridCol w:w="2066"/>
        <w:gridCol w:w="3342"/>
        <w:gridCol w:w="1215"/>
        <w:gridCol w:w="1643"/>
      </w:tblGrid>
      <w:tr>
        <w:trPr>
          <w:tblHeader w:val="true"/>
        </w:trPr>
        <w:tc>
          <w:tcPr>
            <w:tcW w:type="dxa" w:w="10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Config ID</w:t>
            </w:r>
          </w:p>
        </w:tc>
        <w:tc>
          <w:tcPr>
            <w:tcW w:type="dxa" w:w="20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Parameter</w:t>
            </w:r>
          </w:p>
        </w:tc>
        <w:tc>
          <w:tcPr>
            <w:tcW w:type="dxa" w:w="33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Approved value</w:t>
            </w:r>
          </w:p>
        </w:tc>
        <w:tc>
          <w:tcPr>
            <w:tcW w:type="dxa" w:w="121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Area</w:t>
            </w:r>
          </w:p>
        </w:tc>
        <w:tc>
          <w:tcPr>
            <w:tcW w:type="dxa" w:w="164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Control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CFG-GEN-001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environment label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 — GMP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System-wide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Change control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CFG-GEN-002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timezone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Asia/Shanghai; UTC+08:00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System-wide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IT/System Owner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CFG-GEN-003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Application language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English primary; Chinese labels for local master data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System-wide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CFG-SMP-001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 ID pattern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QCL-YYYY-NNNNNNN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 management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Locked after go-live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CFG-SMP-002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Barcode symbology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Code 128 with human-readable Sample ID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Printing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CFG-SMP-003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Receipt mandatory fields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Condition, quantity, unit, receiver, location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 receipt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CFG-SMP-004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Closure rule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required tests complete; no open OOS/OOT/hold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Workflow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CFG-SPEC-001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Specification states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Draft → In Review → Approved → Effective → Obsolete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data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E-signature at approval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CFG-SPEC-002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Effective-date rule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backdating; emergency activation via deviation/change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data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CFG-LES-001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Manual critical value verification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 for assay, impurity, sterility, bioburden and EM excursions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Independent reviewer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CFG-LES-002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Repeat-test permission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Supervisor and QA Investigation roles only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Reason mandatory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CFG-CALC-001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Default rounding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Half-up at final result unless method-specific rule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Calculation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Method-specific overrides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CFG-CALC-002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Division-by-zero handling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Block calculation and raise exception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Calculation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CFG-INT-001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Message retry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 automated retries at 1/5/15 minutes; then exception queue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duplicate creation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CFG-INT-002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Message retention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Online 2 years; archive with incident/record if longer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Searchable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CFG-SEC-001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Authentication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Corporate SAML SSO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Unique account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CFG-SEC-002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Interactive local accounts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Disabled except two sealed break-glass accounts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Quarterly test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CFG-SEC-003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Session inactivity lock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 minutes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Re-authenticate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CFG-SEC-004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Vendor access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Disabled by default; max 8-hour approved window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MFA/session log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CFG-SEC-005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Failed-login lockout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5 failures/15 minutes; 30-minute lock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Identity service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CFG-DI-001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Critical reason-for-change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Mandatory for result, limit, formula, spec, role, status and signature-impacting change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reason list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CFG-DI-002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 timezone/display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Stored UTC; displayed CST with offset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Immutable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CFG-ESIG-001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Signature meanings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Performed by; Reviewed by; Approved by; Rejected by; Cancelled by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Electronic signature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list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CFG-ESIG-002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Re-authentication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 for submit, review, approve, reject and cancel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Electronic signature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Password/MFA policy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CFG-REP-001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report footer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 ID, template version, generated timestamp, page x of y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Reporting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CFG-BCP-001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 frequency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15-minute database PITR; nightly attachment/configuration backup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Continuity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Encrypted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CFG-BCP-002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RPO/RTO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 minutes / 8 hours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Continuity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Tier 1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CFG-OPS-001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Access review frequency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Quarterly all users; monthly privileged accounts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CFG-OPS-002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Audit-trail trend review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Quarterly; critical record review during approval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QA/QC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CFG-OPS-003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Periodic review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Annual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Operations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Due 2028-03-15</w:t>
            </w:r>
          </w:p>
        </w:tc>
      </w:tr>
      <w:tr>
        <w:tc>
          <w:tcPr>
            <w:tcW w:type="dxa" w:w="10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CFG-RET-001</w:t>
            </w:r>
          </w:p>
        </w:tc>
        <w:tc>
          <w:tcPr>
            <w:tcW w:type="dxa" w:w="20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archive mode</w:t>
            </w:r>
          </w:p>
        </w:tc>
        <w:tc>
          <w:tcPr>
            <w:tcW w:type="dxa" w:w="33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Read-only; no update/delete API</w:t>
            </w:r>
          </w:p>
        </w:tc>
        <w:tc>
          <w:tcPr>
            <w:tcW w:type="dxa" w:w="12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</w:t>
            </w:r>
          </w:p>
        </w:tc>
        <w:tc>
          <w:tcPr>
            <w:tcW w:type="dxa" w:w="16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Records Management approval</w:t>
            </w:r>
          </w:p>
        </w:tc>
      </w:tr>
    </w:tbl>
    <w:p>
      <w:pPr>
        <w:spacing w:after="80"/>
      </w:pPr>
    </w:p>
    <w:p>
      <w:pPr>
        <w:pStyle w:val="Heading1"/>
      </w:pPr>
      <w:r>
        <w:t>3. Workflow configuration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11"/>
        <w:gridCol w:w="4219"/>
        <w:gridCol w:w="3530"/>
      </w:tblGrid>
      <w:tr>
        <w:trPr>
          <w:tblHeader w:val="true"/>
        </w:trPr>
        <w:tc>
          <w:tcPr>
            <w:tcW w:type="dxa" w:w="161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Workflow</w:t>
            </w:r>
          </w:p>
        </w:tc>
        <w:tc>
          <w:tcPr>
            <w:tcW w:type="dxa" w:w="421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States</w:t>
            </w:r>
          </w:p>
        </w:tc>
        <w:tc>
          <w:tcPr>
            <w:tcW w:type="dxa" w:w="353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Approval/segregation</w:t>
            </w:r>
          </w:p>
        </w:tc>
      </w:tr>
      <w:tr>
        <w:tc>
          <w:tcPr>
            <w:tcW w:type="dxa" w:w="16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</w:t>
            </w:r>
          </w:p>
        </w:tc>
        <w:tc>
          <w:tcPr>
            <w:tcW w:type="dxa" w:w="42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Pending → Received → In Testing → Under Review → Approved/Rejected/Cancelled → Archived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Analyst cannot final-approve own work</w:t>
            </w:r>
          </w:p>
        </w:tc>
      </w:tr>
      <w:tr>
        <w:tc>
          <w:tcPr>
            <w:tcW w:type="dxa" w:w="16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</w:t>
            </w:r>
          </w:p>
        </w:tc>
        <w:tc>
          <w:tcPr>
            <w:tcW w:type="dxa" w:w="42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Assigned → In Progress → Submitted → Reviewed → Approved/Rejected/Invalidated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Repeat/retest requires authorised reason</w:t>
            </w:r>
          </w:p>
        </w:tc>
      </w:tr>
      <w:tr>
        <w:tc>
          <w:tcPr>
            <w:tcW w:type="dxa" w:w="16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</w:t>
            </w:r>
          </w:p>
        </w:tc>
        <w:tc>
          <w:tcPr>
            <w:tcW w:type="dxa" w:w="42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Draft → In Review → Approved → Effective → Obsolete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Creator cannot make own version effective</w:t>
            </w:r>
          </w:p>
        </w:tc>
      </w:tr>
      <w:tr>
        <w:tc>
          <w:tcPr>
            <w:tcW w:type="dxa" w:w="16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 link</w:t>
            </w:r>
          </w:p>
        </w:tc>
        <w:tc>
          <w:tcPr>
            <w:tcW w:type="dxa" w:w="42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Detected → Case Pending → Case Open → Dispositioned → Closed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Result remains on hold until eQMS disposition</w:t>
            </w:r>
          </w:p>
        </w:tc>
      </w:tr>
      <w:tr>
        <w:tc>
          <w:tcPr>
            <w:tcW w:type="dxa" w:w="16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package</w:t>
            </w:r>
          </w:p>
        </w:tc>
        <w:tc>
          <w:tcPr>
            <w:tcW w:type="dxa" w:w="42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Draft → Reviewed → Approved → Promoted → Verified</w:t>
            </w:r>
          </w:p>
        </w:tc>
        <w:tc>
          <w:tcPr>
            <w:tcW w:type="dxa" w:w="35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promotion by separate administrator</w:t>
            </w:r>
          </w:p>
        </w:tc>
      </w:tr>
    </w:tbl>
    <w:p>
      <w:pPr>
        <w:spacing w:after="80"/>
      </w:pPr>
    </w:p>
    <w:p>
      <w:pPr>
        <w:pStyle w:val="Heading1"/>
      </w:pPr>
      <w:r>
        <w:t>4. Controlled reason lists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Result correction; transcription correction; instrument retransmission; unit correction; specification correction; workflow cancellation; authorised retest; administrative metadata correction; security/role change; interface reprocessing. “Other” requires free-text explanation and supervisor review.</w:t>
      </w:r>
    </w:p>
    <w:p>
      <w:pPr>
        <w:pStyle w:val="Heading1"/>
      </w:pPr>
      <w:r>
        <w:t>5. Baseline control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production baseline package is `QCL-PROD-BL-1.0`, checksum recorded in Document 077. Any parameter change after go-live requires change control, impact assessment and regression evidence.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QCL-2026-CS-001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QCL-2026-CS-001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