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Infrastructure and Architecture Design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document defines qualified infrastructure and network dependencies for the application, gateway, identity, backup and archive.</w:t>
      </w:r>
    </w:p>
    <w:p>
      <w:pPr>
        <w:pStyle w:val="Heading1"/>
      </w:pPr>
      <w:r>
        <w:t>2. Physical and service architecture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403"/>
        <w:gridCol w:w="6957"/>
      </w:tblGrid>
      <w:tr>
        <w:trPr>
          <w:tblHeader w:val="true"/>
        </w:trPr>
        <w:tc>
          <w:tcPr>
            <w:tcW w:type="dxa" w:w="24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Item</w:t>
            </w:r>
          </w:p>
        </w:tc>
        <w:tc>
          <w:tcPr>
            <w:tcW w:type="dxa" w:w="69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Approved design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Cloud tenant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Dedicated QCLabOne tenant in China East; production and non-production separated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Application service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Redundant supplier-managed nodes behind web application firewall/load balancer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Managed PostgreSQL 15, encrypted, multi-zone replication and PITR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 storage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Encrypted object store with versioning and checksum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QCL-IGW-01; Windows Server 2022; 8 vCPU; 32 GB RAM; 500 GB encrypted disk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Network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 DMZ-to-cloud TLS route; deny-by-default firewall; no inbound Internet access to gateway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Identity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Corporate AD FS 2022/SAML; corporate NTP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Monitoring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Availability, CPU/memory/disk, interface queues, certificates, backup, security and time drift</w:t>
            </w:r>
          </w:p>
        </w:tc>
      </w:tr>
      <w:tr>
        <w:tc>
          <w:tcPr>
            <w:tcW w:type="dxa" w:w="24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</w:t>
            </w:r>
          </w:p>
        </w:tc>
        <w:tc>
          <w:tcPr>
            <w:tcW w:type="dxa" w:w="69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 standby region plus site DR copy for gateway configuration</w:t>
            </w:r>
          </w:p>
        </w:tc>
      </w:tr>
    </w:tbl>
    <w:p>
      <w:pPr>
        <w:spacing w:after="80"/>
      </w:pPr>
    </w:p>
    <w:p>
      <w:pPr>
        <w:pStyle w:val="Heading1"/>
      </w:pPr>
      <w:r>
        <w:t>3. Network zones and ports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74"/>
        <w:gridCol w:w="2674"/>
        <w:gridCol w:w="2202"/>
        <w:gridCol w:w="1810"/>
      </w:tblGrid>
      <w:tr>
        <w:trPr>
          <w:tblHeader w:val="true"/>
        </w:trPr>
        <w:tc>
          <w:tcPr>
            <w:tcW w:type="dxa" w:w="26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Path</w:t>
            </w:r>
          </w:p>
        </w:tc>
        <w:tc>
          <w:tcPr>
            <w:tcW w:type="dxa" w:w="26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Protocol/port</w:t>
            </w:r>
          </w:p>
        </w:tc>
        <w:tc>
          <w:tcPr>
            <w:tcW w:type="dxa" w:w="220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Direction</w:t>
            </w:r>
          </w:p>
        </w:tc>
        <w:tc>
          <w:tcPr>
            <w:tcW w:type="dxa" w:w="18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Purpose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User network → cloud application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HTTPS 443</w:t>
            </w:r>
          </w:p>
        </w:tc>
        <w:tc>
          <w:tcPr>
            <w:tcW w:type="dxa" w:w="2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Outbound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User access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→ cloud API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mTLS HTTPS 443</w:t>
            </w:r>
          </w:p>
        </w:tc>
        <w:tc>
          <w:tcPr>
            <w:tcW w:type="dxa" w:w="2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Outbound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Interfaces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↔ SAP/eQMS/CDS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HTTPS 443 / approved message queue</w:t>
            </w:r>
          </w:p>
        </w:tc>
        <w:tc>
          <w:tcPr>
            <w:tcW w:type="dxa" w:w="2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Bidirectional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Enterprise interfaces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Instruments → gateway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serial/TCP ports</w:t>
            </w:r>
          </w:p>
        </w:tc>
        <w:tc>
          <w:tcPr>
            <w:tcW w:type="dxa" w:w="2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Inbound from laboratory VLAN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Device capture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Gateway → NTP/DNS/identity/logging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enterprise services</w:t>
            </w:r>
          </w:p>
        </w:tc>
        <w:tc>
          <w:tcPr>
            <w:tcW w:type="dxa" w:w="2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Outbound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Infrastructure control</w:t>
            </w:r>
          </w:p>
        </w:tc>
      </w:tr>
      <w:tr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remote support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bastion over MFA</w:t>
            </w:r>
          </w:p>
        </w:tc>
        <w:tc>
          <w:tcPr>
            <w:tcW w:type="dxa" w:w="22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Time-limited</w:t>
            </w:r>
          </w:p>
        </w:tc>
        <w:tc>
          <w:tcPr>
            <w:tcW w:type="dxa" w:w="18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Diagnostic support only</w:t>
            </w:r>
          </w:p>
        </w:tc>
      </w:tr>
    </w:tbl>
    <w:p>
      <w:pPr>
        <w:spacing w:after="80"/>
      </w:pPr>
    </w:p>
    <w:p>
      <w:pPr>
        <w:pStyle w:val="Heading1"/>
      </w:pPr>
      <w:r>
        <w:t>4. Qualification and hardening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Server build follows approved CIS-aligned baseline. EDR, patching, logging, backup and least-privilege service accounts are mandatory. Unsupported software, local email, web browsing and removable-media use are prohibited.</w:t>
      </w:r>
    </w:p>
    <w:p>
      <w:pPr>
        <w:pStyle w:val="Heading1"/>
      </w:pPr>
      <w:r>
        <w:t>5. Capacity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Initial design supports 200 concurrent users, 10,000 interface messages/hour, 5 TB attachment growth over five years and 30% headroom. Alert thresholds are 70% warning and 85% critical for capacity resources.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[System Design Specification](024_System_Design_Specification.md)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 Qualification Protocol and Report](048_Installation_Qualification_Protocol_and_Report.md)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QCL-2026-PLC-001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[Performance, Load and Capacity Test Report](057_Performance_Load_and_Capacity_Test_Report.md)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[Failover and Disaster Recovery Test Report](058_Failover_and_Disaster_Recovery_Test_Report.md)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QCL-2028-CVM-001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Vulnerability and Monitoring Report](094_Cybersecurity_Vulnerability_and_Monitoring_Report.md)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QCL-2026-IAD-001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QCL-2026-IAD-001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Infrastructure and Architecture Design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