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Interface Control Specification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QCL-2026-ICS-001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QCL-2026-ICS-001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specification defines interface ownership, protocol, data content, validation, error handling, reconciliation and security.</w:t>
      </w:r>
    </w:p>
    <w:p>
      <w:pPr>
        <w:pStyle w:val="Heading1"/>
      </w:pPr>
      <w:r>
        <w:t>2. Interface register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1062"/>
        <w:gridCol w:w="1839"/>
        <w:gridCol w:w="776"/>
        <w:gridCol w:w="2248"/>
        <w:gridCol w:w="2166"/>
        <w:gridCol w:w="549"/>
      </w:tblGrid>
      <w:tr>
        <w:trPr>
          <w:tblHeader w:val="true"/>
        </w:trPr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ID</w:t>
            </w:r>
          </w:p>
        </w:tc>
        <w:tc>
          <w:tcPr>
            <w:tcW w:type="dxa" w:w="10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Flow</w:t>
            </w:r>
          </w:p>
        </w:tc>
        <w:tc>
          <w:tcPr>
            <w:tcW w:type="dxa" w:w="183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Protocol</w:t>
            </w:r>
          </w:p>
        </w:tc>
        <w:tc>
          <w:tcPr>
            <w:tcW w:type="dxa" w:w="77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Message</w:t>
            </w:r>
          </w:p>
        </w:tc>
        <w:tc>
          <w:tcPr>
            <w:tcW w:type="dxa" w:w="224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Critical content</w:t>
            </w:r>
          </w:p>
        </w:tc>
        <w:tc>
          <w:tcPr>
            <w:tcW w:type="dxa" w:w="216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Error/reconciliation</w:t>
            </w:r>
          </w:p>
        </w:tc>
        <w:tc>
          <w:tcPr>
            <w:tcW w:type="dxa" w:w="54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Account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IF-01</w:t>
            </w:r>
          </w:p>
        </w:tc>
        <w:tc>
          <w:tcPr>
            <w:tcW w:type="dxa" w:w="10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SAP → QCLabOne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HTTPS REST/JSON via gateway</w:t>
            </w:r>
          </w:p>
        </w:tc>
        <w:tc>
          <w:tcPr>
            <w:tcW w:type="dxa" w:w="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SampleRequest v2</w:t>
            </w:r>
          </w:p>
        </w:tc>
        <w:tc>
          <w:tcPr>
            <w:tcW w:type="dxa" w:w="2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Material, batch, plant, sample type, quantity, spec reference, request time</w:t>
            </w:r>
          </w:p>
        </w:tc>
        <w:tc>
          <w:tcPr>
            <w:tcW w:type="dxa" w:w="21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Immediate ACK; invalid/duplicate to exception queue</w:t>
            </w:r>
          </w:p>
        </w:tc>
        <w:tc>
          <w:tcPr>
            <w:tcW w:type="dxa" w:w="5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QCL-IGW service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IF-02</w:t>
            </w:r>
          </w:p>
        </w:tc>
        <w:tc>
          <w:tcPr>
            <w:tcW w:type="dxa" w:w="10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QCLabOne → SAP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HTTPS REST/JSON</w:t>
            </w:r>
          </w:p>
        </w:tc>
        <w:tc>
          <w:tcPr>
            <w:tcW w:type="dxa" w:w="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InspectionStatus v1</w:t>
            </w:r>
          </w:p>
        </w:tc>
        <w:tc>
          <w:tcPr>
            <w:tcW w:type="dxa" w:w="2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Sample ID, inspection lot, completion status, disposition support, approved time</w:t>
            </w:r>
          </w:p>
        </w:tc>
        <w:tc>
          <w:tcPr>
            <w:tcW w:type="dxa" w:w="21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Retry 3 times; daily reconciliation</w:t>
            </w:r>
          </w:p>
        </w:tc>
        <w:tc>
          <w:tcPr>
            <w:tcW w:type="dxa" w:w="5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QCL-IGW service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IF-03</w:t>
            </w:r>
          </w:p>
        </w:tc>
        <w:tc>
          <w:tcPr>
            <w:tcW w:type="dxa" w:w="10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QCLabOne ↔ QualiTrack eQMS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REST/JSON</w:t>
            </w:r>
          </w:p>
        </w:tc>
        <w:tc>
          <w:tcPr>
            <w:tcW w:type="dxa" w:w="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QualityCase v1</w:t>
            </w:r>
          </w:p>
        </w:tc>
        <w:tc>
          <w:tcPr>
            <w:tcW w:type="dxa" w:w="2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Event type OOS/OOT, sample/test/result IDs, summary; return case ID/status</w:t>
            </w:r>
          </w:p>
        </w:tc>
        <w:tc>
          <w:tcPr>
            <w:tcW w:type="dxa" w:w="21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Idempotency key prevents duplicate case</w:t>
            </w:r>
          </w:p>
        </w:tc>
        <w:tc>
          <w:tcPr>
            <w:tcW w:type="dxa" w:w="5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QCL-EQM service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IF-04</w:t>
            </w:r>
          </w:p>
        </w:tc>
        <w:tc>
          <w:tcPr>
            <w:tcW w:type="dxa" w:w="10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ChromLink → QCLabOne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Message queue + HTTPS link</w:t>
            </w:r>
          </w:p>
        </w:tc>
        <w:tc>
          <w:tcPr>
            <w:tcW w:type="dxa" w:w="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ApprovedResult v3</w:t>
            </w:r>
          </w:p>
        </w:tc>
        <w:tc>
          <w:tcPr>
            <w:tcW w:type="dxa" w:w="2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Result, unit, sequence ID, method version, approval time, stable URL</w:t>
            </w:r>
          </w:p>
        </w:tc>
        <w:tc>
          <w:tcPr>
            <w:tcW w:type="dxa" w:w="21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Reject unapproved/mismatched context; exception queue</w:t>
            </w:r>
          </w:p>
        </w:tc>
        <w:tc>
          <w:tcPr>
            <w:tcW w:type="dxa" w:w="5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QCL-CDS service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IF-05</w:t>
            </w:r>
          </w:p>
        </w:tc>
        <w:tc>
          <w:tcPr>
            <w:tcW w:type="dxa" w:w="10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Balance/pH/TOC → Gateway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Serial/TCP vendor protocol normalized to JSON</w:t>
            </w:r>
          </w:p>
        </w:tc>
        <w:tc>
          <w:tcPr>
            <w:tcW w:type="dxa" w:w="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InstrumentResult v2</w:t>
            </w:r>
          </w:p>
        </w:tc>
        <w:tc>
          <w:tcPr>
            <w:tcW w:type="dxa" w:w="2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Device ID, value, unit, timestamp, status, test context</w:t>
            </w:r>
          </w:p>
        </w:tc>
        <w:tc>
          <w:tcPr>
            <w:tcW w:type="dxa" w:w="21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Range/unit/device checks; no silent substitution</w:t>
            </w:r>
          </w:p>
        </w:tc>
        <w:tc>
          <w:tcPr>
            <w:tcW w:type="dxa" w:w="5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Device adapter accounts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IF-06</w:t>
            </w:r>
          </w:p>
        </w:tc>
        <w:tc>
          <w:tcPr>
            <w:tcW w:type="dxa" w:w="10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Identity → QCLabOne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SAML 2.0</w:t>
            </w:r>
          </w:p>
        </w:tc>
        <w:tc>
          <w:tcPr>
            <w:tcW w:type="dxa" w:w="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Identity assertion</w:t>
            </w:r>
          </w:p>
        </w:tc>
        <w:tc>
          <w:tcPr>
            <w:tcW w:type="dxa" w:w="2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User ID, name, group/role claims, session</w:t>
            </w:r>
          </w:p>
        </w:tc>
        <w:tc>
          <w:tcPr>
            <w:tcW w:type="dxa" w:w="21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Deny on invalid/expired assertion</w:t>
            </w:r>
          </w:p>
        </w:tc>
        <w:tc>
          <w:tcPr>
            <w:tcW w:type="dxa" w:w="5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Corporate identity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IF-07</w:t>
            </w:r>
          </w:p>
        </w:tc>
        <w:tc>
          <w:tcPr>
            <w:tcW w:type="dxa" w:w="10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QCLabOne → ArchiveVault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SFTP + manifest</w:t>
            </w:r>
          </w:p>
        </w:tc>
        <w:tc>
          <w:tcPr>
            <w:tcW w:type="dxa" w:w="7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RecordPackage v1</w:t>
            </w:r>
          </w:p>
        </w:tc>
        <w:tc>
          <w:tcPr>
            <w:tcW w:type="dxa" w:w="2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PDF/A, XML/JSON metadata, attachments, audit trail, checksums</w:t>
            </w:r>
          </w:p>
        </w:tc>
        <w:tc>
          <w:tcPr>
            <w:tcW w:type="dxa" w:w="21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Manifest validation and transfer reconciliation</w:t>
            </w:r>
          </w:p>
        </w:tc>
        <w:tc>
          <w:tcPr>
            <w:tcW w:type="dxa" w:w="5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Archive service</w:t>
            </w:r>
          </w:p>
        </w:tc>
      </w:tr>
    </w:tbl>
    <w:p>
      <w:pPr>
        <w:spacing w:after="80"/>
      </w:pPr>
    </w:p>
    <w:p>
      <w:pPr>
        <w:pStyle w:val="Heading1"/>
      </w:pPr>
      <w:r>
        <w:t>3. Common interface controls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Every message has source system, destination, correlation ID, business key, created time, schema version and checksum.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Duplicate messages are detected by idempotency key and do not create duplicate records.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Mandatory-field, type, unit, range and context checks occur before business processing.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Errors are retained in an exception queue; reprocessing requires authorised role and audit trail.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Daily reconciliation compares sent, received, accepted, rejected and outstanding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No interface account is interactive; secrets are rotated through the approved vault.</w:t>
      </w:r>
    </w:p>
    <w:p>
      <w:pPr>
        <w:pStyle w:val="Heading1"/>
      </w:pPr>
      <w:r>
        <w:t>4. Sample field mapping—CDS result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59"/>
        <w:gridCol w:w="3047"/>
        <w:gridCol w:w="4354"/>
      </w:tblGrid>
      <w:tr>
        <w:trPr>
          <w:tblHeader w:val="true"/>
        </w:trPr>
        <w:tc>
          <w:tcPr>
            <w:tcW w:type="dxa" w:w="195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CDS field</w:t>
            </w:r>
          </w:p>
        </w:tc>
        <w:tc>
          <w:tcPr>
            <w:tcW w:type="dxa" w:w="3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QCLabOne field</w:t>
            </w:r>
          </w:p>
        </w:tc>
        <w:tc>
          <w:tcPr>
            <w:tcW w:type="dxa" w:w="435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Rule</w:t>
            </w:r>
          </w:p>
        </w:tc>
      </w:tr>
      <w:tr>
        <w:tc>
          <w:tcPr>
            <w:tcW w:type="dxa" w:w="19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approvedResult</w:t>
            </w:r>
          </w:p>
        </w:tc>
        <w:tc>
          <w:tcPr>
            <w:tcW w:type="dxa" w:w="3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TestResult.NumericValue</w:t>
            </w:r>
          </w:p>
        </w:tc>
        <w:tc>
          <w:tcPr>
            <w:tcW w:type="dxa" w:w="43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Decimal; no rounding during transfer</w:t>
            </w:r>
          </w:p>
        </w:tc>
      </w:tr>
      <w:tr>
        <w:tc>
          <w:tcPr>
            <w:tcW w:type="dxa" w:w="19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unitCode</w:t>
            </w:r>
          </w:p>
        </w:tc>
        <w:tc>
          <w:tcPr>
            <w:tcW w:type="dxa" w:w="3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TestResult.Unit</w:t>
            </w:r>
          </w:p>
        </w:tc>
        <w:tc>
          <w:tcPr>
            <w:tcW w:type="dxa" w:w="43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Must match configured method unit</w:t>
            </w:r>
          </w:p>
        </w:tc>
      </w:tr>
      <w:tr>
        <w:tc>
          <w:tcPr>
            <w:tcW w:type="dxa" w:w="19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sequenceId</w:t>
            </w:r>
          </w:p>
        </w:tc>
        <w:tc>
          <w:tcPr>
            <w:tcW w:type="dxa" w:w="3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SourceRecord.SequenceID</w:t>
            </w:r>
          </w:p>
        </w:tc>
        <w:tc>
          <w:tcPr>
            <w:tcW w:type="dxa" w:w="43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Required and immutable</w:t>
            </w:r>
          </w:p>
        </w:tc>
      </w:tr>
      <w:tr>
        <w:tc>
          <w:tcPr>
            <w:tcW w:type="dxa" w:w="19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methodVersion</w:t>
            </w:r>
          </w:p>
        </w:tc>
        <w:tc>
          <w:tcPr>
            <w:tcW w:type="dxa" w:w="3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SourceRecord.MethodVersion</w:t>
            </w:r>
          </w:p>
        </w:tc>
        <w:tc>
          <w:tcPr>
            <w:tcW w:type="dxa" w:w="43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Required; mismatch blocks processing</w:t>
            </w:r>
          </w:p>
        </w:tc>
      </w:tr>
      <w:tr>
        <w:tc>
          <w:tcPr>
            <w:tcW w:type="dxa" w:w="19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approvalTimestamp</w:t>
            </w:r>
          </w:p>
        </w:tc>
        <w:tc>
          <w:tcPr>
            <w:tcW w:type="dxa" w:w="3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SourceRecord.ApprovedAt</w:t>
            </w:r>
          </w:p>
        </w:tc>
        <w:tc>
          <w:tcPr>
            <w:tcW w:type="dxa" w:w="43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ISO 8601 with offset</w:t>
            </w:r>
          </w:p>
        </w:tc>
      </w:tr>
      <w:tr>
        <w:tc>
          <w:tcPr>
            <w:tcW w:type="dxa" w:w="19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recordUrl</w:t>
            </w:r>
          </w:p>
        </w:tc>
        <w:tc>
          <w:tcPr>
            <w:tcW w:type="dxa" w:w="3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SourceRecord.Link</w:t>
            </w:r>
          </w:p>
        </w:tc>
        <w:tc>
          <w:tcPr>
            <w:tcW w:type="dxa" w:w="43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HTTPS stable link; authorised users only</w:t>
            </w:r>
          </w:p>
        </w:tc>
      </w:tr>
      <w:tr>
        <w:tc>
          <w:tcPr>
            <w:tcW w:type="dxa" w:w="19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status</w:t>
            </w:r>
          </w:p>
        </w:tc>
        <w:tc>
          <w:tcPr>
            <w:tcW w:type="dxa" w:w="3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SourceRecord.Status</w:t>
            </w:r>
          </w:p>
        </w:tc>
        <w:tc>
          <w:tcPr>
            <w:tcW w:type="dxa" w:w="43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Only APPROVED accepted</w:t>
            </w:r>
          </w:p>
        </w:tc>
      </w:tr>
    </w:tbl>
    <w:p>
      <w:pPr>
        <w:spacing w:after="80"/>
      </w:pP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Specification](023_Functional_Specification.md)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Design Specification](024_System_Design_Specification.md)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Flow, Data Dictionary and Metadata Specification](028_Data_Flow_Data_Dictionary_and_Metadata_Specification.md)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QCL-2026-SDP-001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[Software Development and Source Control Plan](042_Software_Development_and_Source_Control_Plan.md)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QCL-2026-CRU-001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[Code Review and Unit Test Report](043_Code_Review_and_Unit_Test_Report.md)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[Factory Acceptance Test Protocol and Report](044_Factory_Acceptance_Test_Protocol_and_Report.md)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Acceptance Test Protocol and Report](045_Site_Acceptance_Test_Protocol_and_Report.md)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QCL-2026-IFT-001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Test Protocol and Report](051_Interface_Test_Protocol_and_Report.md)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QCL-2027-INC-014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[Incident Record and Impact Assessment](085_Incident_Record_and_Impact_Assessment.md)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QCL-2027-PRB-006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[Problem Record and Root Cause Analysis](086_Problem_Record_and_Root_Cause_Analysis.md)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Solution Architect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CSV Lead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QCL-2026-ICS-001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QCL-2026-ICS-001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Interface Control Specification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