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Data Flow, Data Dictionary and Metadata Specification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Design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Data-flow model</w:t>
      </w:r>
    </w:p>
    <w:p>
      <w:pPr>
        <w:spacing w:after="40"/>
      </w:pPr>
      <w:r>
        <w:rPr>
          <w:rFonts w:ascii="Calibri" w:hAnsi="Calibri"/>
          <w:b/>
          <w:color w:val="595959"/>
          <w:sz w:val="18"/>
        </w:rPr>
        <w:t>Diagram source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000000"/>
                <w:sz w:val="17"/>
              </w:rPr>
            </w:r>
            <w:r>
              <w:rPr>
                <w:rFonts w:ascii="Consolas" w:hAnsi="Consolas"/>
                <w:b w:val="0"/>
                <w:color w:val="000000"/>
                <w:sz w:val="17"/>
              </w:rPr>
              <w:t>flowchart LR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SAP[SAP master and sample request] --&gt; L[QCLabOne sample/test records]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DEV[Instruments] --&gt; 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CDS[CDS approved result + source link] --&gt; 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L --&gt; EQ[eQMS OOS/OOT case]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EQ --&gt; 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L --&gt; SAP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L --&gt; REP[Controlled report/PDF]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L --&gt; ARC[Archive package]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LEG[Legacy LIMS/Excel] --&gt; MIG[Migration/Archive ETL]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MIG --&gt; L</w:t>
            </w:r>
          </w:p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color w:val="000000"/>
                <w:sz w:val="17"/>
              </w:rPr>
              <w:t>MIG --&gt; ARC</w:t>
            </w:r>
          </w:p>
        </w:tc>
      </w:tr>
    </w:tbl>
    <w:p>
      <w:pPr>
        <w:pStyle w:val="Heading1"/>
      </w:pPr>
      <w:r>
        <w:t>2. Data ownership and lifecycle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Data is created at the authoritative source, validated on entry/transfer, processed under version-controlled rules, reviewed and signed, retained online, archived with metadata/audit trail and eventually disposed only under the approved retention schedule.</w:t>
      </w:r>
    </w:p>
    <w:p>
      <w:pPr>
        <w:pStyle w:val="Heading1"/>
      </w:pPr>
      <w:r>
        <w:t>3. Core data dictionary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1337"/>
        <w:gridCol w:w="1136"/>
        <w:gridCol w:w="3276"/>
        <w:gridCol w:w="2675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Entity</w:t>
            </w:r>
          </w:p>
        </w:tc>
        <w:tc>
          <w:tcPr>
            <w:tcW w:type="dxa" w:w="133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Field</w:t>
            </w:r>
          </w:p>
        </w:tc>
        <w:tc>
          <w:tcPr>
            <w:tcW w:type="dxa" w:w="11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Type</w:t>
            </w:r>
          </w:p>
        </w:tc>
        <w:tc>
          <w:tcPr>
            <w:tcW w:type="dxa" w:w="327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Rule</w:t>
            </w:r>
          </w:p>
        </w:tc>
        <w:tc>
          <w:tcPr>
            <w:tcW w:type="dxa" w:w="267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Authoritative source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SampleID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Unique QCL-YYYY-NNNNNNN; immutable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SourceRequestID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SAP request/correlation ID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SAP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MaterialCode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material master code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SAP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BatchNumber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Manufacturing batch/lot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SAP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Sample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ReceiptTimestamp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System-generated CST display/UTC storage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TestAssignment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TestID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Unique test assignment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TestAssignment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SpecificationVersion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Effective version linked at assignment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ResultID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Unique result record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NumericValue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Decimal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Full precision stored; display rounding by method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QCLabOne/CDS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Unit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code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Method-approved unit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SourceType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Direct instrument/CDS/manual/calculated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SourceRecordID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String/URL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Device message ID or CDS sequence/link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Source system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Calculation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FormulaVersion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Approved immutable formula version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Signature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SignerID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Unique corporate identity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Identity service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Signature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Meaning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Enum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Performed/Reviewed/Approved/Rejected/Cancelled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Signature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SignedAt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System-generated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AuditEvent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OldValue/NewValue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Structured text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Complete changed value/context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AuditEvent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Reason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+ text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Mandatory for critical changes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QualityCase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CaseID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Returned eQMS case identifier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eQMS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ArchivePackage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ManifestChecksum</w:t>
            </w:r>
          </w:p>
        </w:tc>
        <w:tc>
          <w:tcPr>
            <w:tcW w:type="dxa" w:w="11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SHA-256</w:t>
            </w:r>
          </w:p>
        </w:tc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Package integrity</w:t>
            </w:r>
          </w:p>
        </w:tc>
        <w:tc>
          <w:tcPr>
            <w:tcW w:type="dxa" w:w="26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QCLabOne/ArchiveVault</w:t>
            </w:r>
          </w:p>
        </w:tc>
      </w:tr>
    </w:tbl>
    <w:p>
      <w:pPr>
        <w:spacing w:after="80"/>
      </w:pPr>
    </w:p>
    <w:p>
      <w:pPr>
        <w:pStyle w:val="Heading1"/>
      </w:pPr>
      <w:r>
        <w:t>4. Metadata requirements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regulated record package preserves unique ID, creator/source, creation and modification time, version, status, related record IDs, signature manifestation, audit trail, attachments, configuration/method references and retention category.</w:t>
      </w:r>
    </w:p>
    <w:p>
      <w:pPr>
        <w:pStyle w:val="Heading1"/>
      </w:pPr>
      <w:r>
        <w:t>5. Data-quality rules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Null mandatory values, invalid codes, unsupported units, broken relationships, duplicate business keys and checksum mismatch are rejected or quarantined. Corrections never overwrite the original history.</w:t>
      </w: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QCL-2026-BPD-001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Business Process Description](008_Business_Process_Description.md)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Specification](023_Functional_Specification.md)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Design Specification](024_System_Design_Specification.md)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Control Specification](027_Interface_Control_Specification.md)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 and Calculation Specification](029_Report_and_Calculation_Specification.md)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Data Specification](030_Master_Data_Specification.md)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Specification](032_Audit_Trail_Specification.md)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Mapping, Cleansing and Transformation Specification](037_Data_Mapping_Cleansing_and_Transformation_Specification.md)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Solution Architect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CSV Lead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2026-10-31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QCL-2026-DDS-001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QCL-2026-DDS-001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Flow, Data Dictionary and Metadata Specification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