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Report and Calculation Specification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QCL-2026-RCS-001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Design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QCL-2026-RCS-001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Design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specification defines regulated calculations and controlled outputs. Analytical-method scientific content remains approved under laboratory procedures; this document controls software implementation.</w:t>
      </w:r>
    </w:p>
    <w:p>
      <w:pPr>
        <w:pStyle w:val="Heading1"/>
      </w:pPr>
      <w:r>
        <w:t>2. Calculation catalogue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1610"/>
        <w:gridCol w:w="2394"/>
        <w:gridCol w:w="2394"/>
        <w:gridCol w:w="2242"/>
      </w:tblGrid>
      <w:tr>
        <w:trPr>
          <w:tblHeader w:val="true"/>
        </w:trPr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ID</w:t>
            </w:r>
          </w:p>
        </w:tc>
        <w:tc>
          <w:tcPr>
            <w:tcW w:type="dxa" w:w="161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Calculation</w:t>
            </w:r>
          </w:p>
        </w:tc>
        <w:tc>
          <w:tcPr>
            <w:tcW w:type="dxa" w:w="239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Formula/logic</w:t>
            </w:r>
          </w:p>
        </w:tc>
        <w:tc>
          <w:tcPr>
            <w:tcW w:type="dxa" w:w="239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Rounding</w:t>
            </w:r>
          </w:p>
        </w:tc>
        <w:tc>
          <w:tcPr>
            <w:tcW w:type="dxa" w:w="224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Control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CALC-ASSAY-01</w:t>
            </w:r>
          </w:p>
        </w:tc>
        <w:tc>
          <w:tcPr>
            <w:tcW w:type="dxa" w:w="1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Assay %</w:t>
            </w:r>
          </w:p>
        </w:tc>
        <w:tc>
          <w:tcPr>
            <w:tcW w:type="dxa" w:w="23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(Sample response / Standard response) × (Standard weight / Sample weight) × Potency × Dilution factors × 100</w:t>
            </w:r>
          </w:p>
        </w:tc>
        <w:tc>
          <w:tcPr>
            <w:tcW w:type="dxa" w:w="23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Full precision internal; final 1 decimal unless method states otherwise</w:t>
            </w:r>
          </w:p>
        </w:tc>
        <w:tc>
          <w:tcPr>
            <w:tcW w:type="dxa" w:w="22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 and boundary denominators tested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CALC-RSD-01</w:t>
            </w:r>
          </w:p>
        </w:tc>
        <w:tc>
          <w:tcPr>
            <w:tcW w:type="dxa" w:w="1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Relative standard deviation</w:t>
            </w:r>
          </w:p>
        </w:tc>
        <w:tc>
          <w:tcPr>
            <w:tcW w:type="dxa" w:w="23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STDEV.S(results) / AVERAGE(results) × 100</w:t>
            </w:r>
          </w:p>
        </w:tc>
        <w:tc>
          <w:tcPr>
            <w:tcW w:type="dxa" w:w="23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Final 2 decimals</w:t>
            </w:r>
          </w:p>
        </w:tc>
        <w:tc>
          <w:tcPr>
            <w:tcW w:type="dxa" w:w="22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n≥2; zero mean blocked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CALC-AVG-01</w:t>
            </w:r>
          </w:p>
        </w:tc>
        <w:tc>
          <w:tcPr>
            <w:tcW w:type="dxa" w:w="1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Average</w:t>
            </w:r>
          </w:p>
        </w:tc>
        <w:tc>
          <w:tcPr>
            <w:tcW w:type="dxa" w:w="23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Sum(valid replicate results) / count</w:t>
            </w:r>
          </w:p>
        </w:tc>
        <w:tc>
          <w:tcPr>
            <w:tcW w:type="dxa" w:w="23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Method-specific</w:t>
            </w:r>
          </w:p>
        </w:tc>
        <w:tc>
          <w:tcPr>
            <w:tcW w:type="dxa" w:w="22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Invalidated replicate excluded only with approved reason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CALC-DIL-01</w:t>
            </w:r>
          </w:p>
        </w:tc>
        <w:tc>
          <w:tcPr>
            <w:tcW w:type="dxa" w:w="1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Dilution factor</w:t>
            </w:r>
          </w:p>
        </w:tc>
        <w:tc>
          <w:tcPr>
            <w:tcW w:type="dxa" w:w="23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Final volume / aliquot volume × subsequent factors</w:t>
            </w:r>
          </w:p>
        </w:tc>
        <w:tc>
          <w:tcPr>
            <w:tcW w:type="dxa" w:w="23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Full precision</w:t>
            </w:r>
          </w:p>
        </w:tc>
        <w:tc>
          <w:tcPr>
            <w:tcW w:type="dxa" w:w="22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Units must be compatible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CALC-CFU-01</w:t>
            </w:r>
          </w:p>
        </w:tc>
        <w:tc>
          <w:tcPr>
            <w:tcW w:type="dxa" w:w="1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CFU result</w:t>
            </w:r>
          </w:p>
        </w:tc>
        <w:tc>
          <w:tcPr>
            <w:tcW w:type="dxa" w:w="23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Colony count × dilution factor / plated volume</w:t>
            </w:r>
          </w:p>
        </w:tc>
        <w:tc>
          <w:tcPr>
            <w:tcW w:type="dxa" w:w="23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Integer or method-specific</w:t>
            </w:r>
          </w:p>
        </w:tc>
        <w:tc>
          <w:tcPr>
            <w:tcW w:type="dxa" w:w="22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TNTC and zero handling configured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CALC-EM-01</w:t>
            </w:r>
          </w:p>
        </w:tc>
        <w:tc>
          <w:tcPr>
            <w:tcW w:type="dxa" w:w="1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Environmental monitoring alert/action</w:t>
            </w:r>
          </w:p>
        </w:tc>
        <w:tc>
          <w:tcPr>
            <w:tcW w:type="dxa" w:w="23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Compare result to location/grade/time-effective limits</w:t>
            </w:r>
          </w:p>
        </w:tc>
        <w:tc>
          <w:tcPr>
            <w:tcW w:type="dxa" w:w="23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 numeric rounding before comparison</w:t>
            </w:r>
          </w:p>
        </w:tc>
        <w:tc>
          <w:tcPr>
            <w:tcW w:type="dxa" w:w="22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Alert/action boundary tested</w:t>
            </w:r>
          </w:p>
        </w:tc>
      </w:tr>
    </w:tbl>
    <w:p>
      <w:pPr>
        <w:spacing w:after="80"/>
      </w:pPr>
    </w:p>
    <w:p>
      <w:pPr>
        <w:pStyle w:val="Heading1"/>
      </w:pPr>
      <w:r>
        <w:t>3. General calculation rules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Store source inputs and full precision; round only at the approved final/display point.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Record formula/version, units and input record IDs.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Block missing, invalid, incompatible-unit or division-by-zero inputs.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Recalculation after critical input change is audit-trailed and invalidates affected approval.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Independent reference calculations shall verify normal, boundary and negative scenarios.</w:t>
      </w:r>
    </w:p>
    <w:p>
      <w:pPr>
        <w:pStyle w:val="Heading1"/>
      </w:pPr>
      <w:r>
        <w:t>4. Report catalogue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74"/>
        <w:gridCol w:w="1900"/>
        <w:gridCol w:w="3870"/>
        <w:gridCol w:w="844"/>
        <w:gridCol w:w="1972"/>
      </w:tblGrid>
      <w:tr>
        <w:trPr>
          <w:tblHeader w:val="true"/>
        </w:trPr>
        <w:tc>
          <w:tcPr>
            <w:tcW w:type="dxa" w:w="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ID</w:t>
            </w:r>
          </w:p>
        </w:tc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Report</w:t>
            </w:r>
          </w:p>
        </w:tc>
        <w:tc>
          <w:tcPr>
            <w:tcW w:type="dxa" w:w="387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Required content</w:t>
            </w:r>
          </w:p>
        </w:tc>
        <w:tc>
          <w:tcPr>
            <w:tcW w:type="dxa" w:w="84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Format</w:t>
            </w:r>
          </w:p>
        </w:tc>
        <w:tc>
          <w:tcPr>
            <w:tcW w:type="dxa" w:w="197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Business owner</w:t>
            </w:r>
          </w:p>
        </w:tc>
      </w:tr>
      <w:tr>
        <w:tc>
          <w:tcPr>
            <w:tcW w:type="dxa" w:w="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RPT-TEST-01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Analytical Test Report</w:t>
            </w:r>
          </w:p>
        </w:tc>
        <w:tc>
          <w:tcPr>
            <w:tcW w:type="dxa" w:w="3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Sample, specification/method version, observations, results, calculations, signatures, exceptions and audit-review status</w:t>
            </w:r>
          </w:p>
        </w:tc>
        <w:tc>
          <w:tcPr>
            <w:tcW w:type="dxa" w:w="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PDF/A</w:t>
            </w:r>
          </w:p>
        </w:tc>
        <w:tc>
          <w:tcPr>
            <w:tcW w:type="dxa" w:w="19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 Supervisor</w:t>
            </w:r>
          </w:p>
        </w:tc>
      </w:tr>
      <w:tr>
        <w:tc>
          <w:tcPr>
            <w:tcW w:type="dxa" w:w="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RPT-COA-01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CoA Supporting Data Extract</w:t>
            </w:r>
          </w:p>
        </w:tc>
        <w:tc>
          <w:tcPr>
            <w:tcW w:type="dxa" w:w="3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test/result/status data sent to ERP/CoA process</w:t>
            </w:r>
          </w:p>
        </w:tc>
        <w:tc>
          <w:tcPr>
            <w:tcW w:type="dxa" w:w="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JSON/PDF</w:t>
            </w:r>
          </w:p>
        </w:tc>
        <w:tc>
          <w:tcPr>
            <w:tcW w:type="dxa" w:w="19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QC/QA</w:t>
            </w:r>
          </w:p>
        </w:tc>
      </w:tr>
      <w:tr>
        <w:tc>
          <w:tcPr>
            <w:tcW w:type="dxa" w:w="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RPT-STAB-01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Stability Summary</w:t>
            </w:r>
          </w:p>
        </w:tc>
        <w:tc>
          <w:tcPr>
            <w:tcW w:type="dxa" w:w="3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Protocol, pull schedule, results, trend and missing/late pulls</w:t>
            </w:r>
          </w:p>
        </w:tc>
        <w:tc>
          <w:tcPr>
            <w:tcW w:type="dxa" w:w="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PDF/CSV</w:t>
            </w:r>
          </w:p>
        </w:tc>
        <w:tc>
          <w:tcPr>
            <w:tcW w:type="dxa" w:w="19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Stability Manager</w:t>
            </w:r>
          </w:p>
        </w:tc>
      </w:tr>
      <w:tr>
        <w:tc>
          <w:tcPr>
            <w:tcW w:type="dxa" w:w="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RPT-EM-01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EM Trend Report</w:t>
            </w:r>
          </w:p>
        </w:tc>
        <w:tc>
          <w:tcPr>
            <w:tcW w:type="dxa" w:w="3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Location, grade, organism/count, alert/action and investigation link</w:t>
            </w:r>
          </w:p>
        </w:tc>
        <w:tc>
          <w:tcPr>
            <w:tcW w:type="dxa" w:w="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PDF/CSV</w:t>
            </w:r>
          </w:p>
        </w:tc>
        <w:tc>
          <w:tcPr>
            <w:tcW w:type="dxa" w:w="19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Microbiology/QA</w:t>
            </w:r>
          </w:p>
        </w:tc>
      </w:tr>
      <w:tr>
        <w:tc>
          <w:tcPr>
            <w:tcW w:type="dxa" w:w="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RPT-ATR-01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Audit Trail Review Report</w:t>
            </w:r>
          </w:p>
        </w:tc>
        <w:tc>
          <w:tcPr>
            <w:tcW w:type="dxa" w:w="3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Filters, events, reviewer, review decision and exceptions</w:t>
            </w:r>
          </w:p>
        </w:tc>
        <w:tc>
          <w:tcPr>
            <w:tcW w:type="dxa" w:w="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PDF/CSV</w:t>
            </w:r>
          </w:p>
        </w:tc>
        <w:tc>
          <w:tcPr>
            <w:tcW w:type="dxa" w:w="19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QA/QC Reviewer</w:t>
            </w:r>
          </w:p>
        </w:tc>
      </w:tr>
      <w:tr>
        <w:tc>
          <w:tcPr>
            <w:tcW w:type="dxa" w:w="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RPT-OPS-01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Operational Health Report</w:t>
            </w:r>
          </w:p>
        </w:tc>
        <w:tc>
          <w:tcPr>
            <w:tcW w:type="dxa" w:w="3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Access, interface, backup, incidents and configuration baseline</w:t>
            </w:r>
          </w:p>
        </w:tc>
        <w:tc>
          <w:tcPr>
            <w:tcW w:type="dxa" w:w="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PDF/CSV</w:t>
            </w:r>
          </w:p>
        </w:tc>
        <w:tc>
          <w:tcPr>
            <w:tcW w:type="dxa" w:w="19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System Owner</w:t>
            </w:r>
          </w:p>
        </w:tc>
      </w:tr>
    </w:tbl>
    <w:p>
      <w:pPr>
        <w:spacing w:after="80"/>
      </w:pPr>
    </w:p>
    <w:p>
      <w:pPr>
        <w:pStyle w:val="Heading1"/>
      </w:pPr>
      <w:r>
        <w:t>5. Output controls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Controlled reports show record ID, template/version, generation time, page x of y and signature manifestation. PDF/print/export shall not truncate values or omit context. Ad hoc extracts retain requester and query criteria.</w:t>
      </w: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QCL-2026-URS-001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Requirements Specification](022_User_Requirements_Specification.md)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Specification](023_Functional_Specification.md)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Flow, Data Dictionary and Metadata Specification](028_Data_Flow_Data_Dictionary_and_Metadata_Specification.md)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Specification](025_Configuration_Specification.md)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QCL-2026-OQ-001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Qualification Protocol and Report](049_Operational_Qualification_Protocol_and_Report.md)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QCL-2026-PLC-001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[Performance, Load and Capacity Test Report](057_Performance_Load_and_Capacity_Test_Report.md)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QCL-2026-RPT-001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[Report, Print and Export Verification Report](059_Report_Print_and_Export_Verification_Report.md)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SOP-QC-LIMS-001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User Operation SOP](066_User_Operation_SOP.md)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Vendor Solution Architect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CSV Lead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QCL-2026-RCS-001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QCL-2026-RCS-001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 and Calculation Specification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