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Master Data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document defines ownership, attributes, lifecycle and approval of master data that drives GxP processing.</w:t>
      </w:r>
    </w:p>
    <w:p>
      <w:pPr>
        <w:pStyle w:val="Heading1"/>
      </w:pPr>
      <w:r>
        <w:t>2. Master-data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63"/>
        <w:gridCol w:w="2432"/>
        <w:gridCol w:w="2591"/>
        <w:gridCol w:w="1216"/>
        <w:gridCol w:w="1958"/>
      </w:tblGrid>
      <w:tr>
        <w:trPr>
          <w:tblHeader w:val="true"/>
        </w:trPr>
        <w:tc>
          <w:tcPr>
            <w:tcW w:type="dxa" w:w="116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Master data</w:t>
            </w:r>
          </w:p>
        </w:tc>
        <w:tc>
          <w:tcPr>
            <w:tcW w:type="dxa" w:w="24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Critical attributes</w:t>
            </w:r>
          </w:p>
        </w:tc>
        <w:tc>
          <w:tcPr>
            <w:tcW w:type="dxa" w:w="259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Source/system</w:t>
            </w:r>
          </w:p>
        </w:tc>
        <w:tc>
          <w:tcPr>
            <w:tcW w:type="dxa" w:w="12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Owner</w:t>
            </w:r>
          </w:p>
        </w:tc>
        <w:tc>
          <w:tcPr>
            <w:tcW w:type="dxa" w:w="195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Control</w:t>
            </w:r>
          </w:p>
        </w:tc>
      </w:tr>
      <w:tr>
        <w:tc>
          <w:tcPr>
            <w:tcW w:type="dxa" w:w="11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Material/product</w:t>
            </w:r>
          </w:p>
        </w:tc>
        <w:tc>
          <w:tcPr>
            <w:tcW w:type="dxa" w:w="2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Code, name, dosage form, site, status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SAP interface; read-only in QCLabOne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ERP Master Data Owner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 approved ERP change</w:t>
            </w:r>
          </w:p>
        </w:tc>
      </w:tr>
      <w:tr>
        <w:tc>
          <w:tcPr>
            <w:tcW w:type="dxa" w:w="11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Specification</w:t>
            </w:r>
          </w:p>
        </w:tc>
        <w:tc>
          <w:tcPr>
            <w:tcW w:type="dxa" w:w="2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Tests, methods, limits, effective dates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in QCLabOne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 Specification Owner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Creator/reviewer/approver segregation</w:t>
            </w:r>
          </w:p>
        </w:tc>
      </w:tr>
      <w:tr>
        <w:tc>
          <w:tcPr>
            <w:tcW w:type="dxa" w:w="11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method reference</w:t>
            </w:r>
          </w:p>
        </w:tc>
        <w:tc>
          <w:tcPr>
            <w:tcW w:type="dxa" w:w="2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Method number/version, result type, units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in QCLabOne; scientific method in eDMS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 Method Owner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Effective version only</w:t>
            </w:r>
          </w:p>
        </w:tc>
      </w:tr>
      <w:tr>
        <w:tc>
          <w:tcPr>
            <w:tcW w:type="dxa" w:w="11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Calculation formula</w:t>
            </w:r>
          </w:p>
        </w:tc>
        <w:tc>
          <w:tcPr>
            <w:tcW w:type="dxa" w:w="2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Formula, variables, units, rounding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in QCLabOne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 Calculation Owner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Independent verification</w:t>
            </w:r>
          </w:p>
        </w:tc>
      </w:tr>
      <w:tr>
        <w:tc>
          <w:tcPr>
            <w:tcW w:type="dxa" w:w="11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Reagent/standard</w:t>
            </w:r>
          </w:p>
        </w:tc>
        <w:tc>
          <w:tcPr>
            <w:tcW w:type="dxa" w:w="2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Item, lot, expiry, potency, storage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 Reagent Steward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Status/expiry prevents use</w:t>
            </w:r>
          </w:p>
        </w:tc>
      </w:tr>
      <w:tr>
        <w:tc>
          <w:tcPr>
            <w:tcW w:type="dxa" w:w="11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Instrument/device</w:t>
            </w:r>
          </w:p>
        </w:tc>
        <w:tc>
          <w:tcPr>
            <w:tcW w:type="dxa" w:w="2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Asset ID, type, location, qualification status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Asset system feed/manual approved sync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 Instrument Owner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Unqualified/expired device blocked</w:t>
            </w:r>
          </w:p>
        </w:tc>
      </w:tr>
      <w:tr>
        <w:tc>
          <w:tcPr>
            <w:tcW w:type="dxa" w:w="11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 role mapping</w:t>
            </w:r>
          </w:p>
        </w:tc>
        <w:tc>
          <w:tcPr>
            <w:tcW w:type="dxa" w:w="2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Corporate group to application role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Identity + QCLabOne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Owner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access request</w:t>
            </w:r>
          </w:p>
        </w:tc>
      </w:tr>
      <w:tr>
        <w:tc>
          <w:tcPr>
            <w:tcW w:type="dxa" w:w="11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Location</w:t>
            </w:r>
          </w:p>
        </w:tc>
        <w:tc>
          <w:tcPr>
            <w:tcW w:type="dxa" w:w="2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Lab, room, storage, EM location and grade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QC/Facilities Owner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Version/effective date</w:t>
            </w:r>
          </w:p>
        </w:tc>
      </w:tr>
      <w:tr>
        <w:tc>
          <w:tcPr>
            <w:tcW w:type="dxa" w:w="11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reason list</w:t>
            </w:r>
          </w:p>
        </w:tc>
        <w:tc>
          <w:tcPr>
            <w:tcW w:type="dxa" w:w="2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Reason code, description, applicable object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QA Data Integrity Owner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QA approval</w:t>
            </w:r>
          </w:p>
        </w:tc>
      </w:tr>
      <w:tr>
        <w:tc>
          <w:tcPr>
            <w:tcW w:type="dxa" w:w="11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Report template</w:t>
            </w:r>
          </w:p>
        </w:tc>
        <w:tc>
          <w:tcPr>
            <w:tcW w:type="dxa" w:w="2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Template ID/version/effective state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QCLabOne/eDMS</w:t>
            </w:r>
          </w:p>
        </w:tc>
        <w:tc>
          <w:tcPr>
            <w:tcW w:type="dxa" w:w="1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Report Owner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 before effective</w:t>
            </w:r>
          </w:p>
        </w:tc>
      </w:tr>
    </w:tbl>
    <w:p>
      <w:pPr>
        <w:spacing w:after="80"/>
      </w:pPr>
    </w:p>
    <w:p>
      <w:pPr>
        <w:pStyle w:val="Heading1"/>
      </w:pPr>
      <w:r>
        <w:t>3. Lifecycle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Draft → review → approved/effective → superseded/obsolete. Historical versions are never overwritten. Bulk load uses approved template, validation rules, independent review and reconciliation.</w:t>
      </w:r>
    </w:p>
    <w:p>
      <w:pPr>
        <w:pStyle w:val="Heading1"/>
      </w:pPr>
      <w:r>
        <w:t>4. Periodic review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Specifications, methods and calculations are reviewed through their scientific document lifecycle. Reagent/standard and instrument status is monitored daily. Roles and controlled reasons are reviewed quarterly/annually as defined in SOPs.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Solution Architect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QCL-2026-MDS-001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QCL-2026-MDS-001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Data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