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Audit Trail Specification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QCL-2026-ATS-001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QCL-2026-ATS-001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specification defines which events are audit-trailed, the minimum event content, protection, review and retention.</w:t>
      </w:r>
    </w:p>
    <w:p>
      <w:pPr>
        <w:pStyle w:val="Heading1"/>
      </w:pPr>
      <w:r>
        <w:t>2. Audited events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960"/>
        <w:gridCol w:w="396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Object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Events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Minimum captured content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Sample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Create, receive, transfer, aliquot, reject, cancel, dispose, status change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User/service, timestamp, old/new status, reason where applicable, source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Test/LES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Assignment, start, entry, direct capture, manual entry, pause, abort, repeat, submit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Old/new value, unit, source device, verifier, reason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Result/calculation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 change, recalculation, limit evaluation, override attempt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Old/new value, formula version, limit version, outcome, reason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Specification/method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Create, revise, approve, effective, obsolete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Version, old/new field, approver, effective date, reason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Master data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Create/change/disable reagent, standard, instrument, location, list value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Old/new value, user, approval, change reference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Security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Account/role create/change/disable, failed login, privileged session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Actor, target, old/new role, source, ticket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Electronic signature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Submit/review/approve/reject/cancel and invalidation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Signer, meaning, time, record ID, authentication 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Receive/send/retry/reprocess/error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Message ID, source/destination, status, error, actor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System/configuration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Configuration change, promotion, release, time-zone change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Old/new value, package/checksum, change record</w:t>
            </w:r>
          </w:p>
        </w:tc>
      </w:tr>
    </w:tbl>
    <w:p>
      <w:pPr>
        <w:spacing w:after="80"/>
      </w:pPr>
    </w:p>
    <w:p>
      <w:pPr>
        <w:pStyle w:val="Heading1"/>
      </w:pPr>
      <w:r>
        <w:t>3. Technical requirements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Audit trails are computer-generated, append-only, synchronized to authoritative time and inseparable from the regulated record context. They retain old/new values in human-readable form. Routine application/database administrators cannot modify or delete entries.</w:t>
      </w:r>
    </w:p>
    <w:p>
      <w:pPr>
        <w:pStyle w:val="Heading1"/>
      </w:pPr>
      <w:r>
        <w:t>4. Reason-for-change rules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reason is mandatory for changes to results, specification/method/limit, formula, critical master data, role, workflow status, signature-impacting data and authorised interface reprocessing. Controlled reason plus comment is used where context is needed.</w:t>
      </w:r>
    </w:p>
    <w:p>
      <w:pPr>
        <w:pStyle w:val="Heading1"/>
      </w:pPr>
      <w:r>
        <w:t>5. Review model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Record-level review: reviewer examines relevant critical changes before approval.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Monthly review: privileged access, role changes and vendor sessions.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Quarterly review: system-wide critical event trends, repeated reasons, deletions/attempts, time changes and failed interface reprocessing.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Event-based review: incident, OOS/OOT, complaint, data-integrity concern or inspection request.</w:t>
      </w:r>
    </w:p>
    <w:p>
      <w:pPr>
        <w:pStyle w:val="Heading1"/>
      </w:pPr>
      <w:r>
        <w:t>6. Retention/export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Audit data is retained at least as long as the associated record. Exports show filters, execution time and requester and are verified against on-screen source.</w:t>
      </w:r>
    </w:p>
    <w:p>
      <w:pPr>
        <w:pStyle w:val="Heading1"/>
      </w:pPr>
      <w:r>
        <w:t>7.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QCL-2026-DIRA-001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Risk Assessment](012_Data_Integrity_Risk_Assessment.md)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QCL-2026-ERES-001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[21 CFR Part 11 and EU Annex 11 Assessment](013_21_CFR_Part_11_and_EU_Annex_11_Assessment.md)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Requirements Specification](022_User_Requirements_Specification.md)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Specification](023_Functional_Specification.md)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Specification](025_Configuration_Specification.md)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Challenge Test Report](054_Audit_Trail_Challenge_Test_Report.md)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SOP-QA-ATR-001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Audit Trail Review SOP](068_Audit_Trail_Review_SOP.md)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QCL-2027-ATR-001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Audit Trail Review Record](081_Periodic_Audit_Trail_Review_Record.md)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QCL-2027-DIM-001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Monitoring and Trend Report](082_Data_Integrity_Monitoring_and_Trend_Report.md)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Solution Architect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CSV Lead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QCL-2026-ATS-001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QCL-2026-ATS-001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Trail Specification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