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Electronic Signature Specification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QCL-2026-ESS-001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Design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QCL-2026-ESS-001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Design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Purpose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This specification defines the electronic-signature controls used for GMP submission, review, approval, rejection and cancellation.</w:t>
      </w:r>
    </w:p>
    <w:p>
      <w:pPr>
        <w:pStyle w:val="Heading1"/>
      </w:pPr>
      <w:r>
        <w:t>2. Signature events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323"/>
        <w:gridCol w:w="2836"/>
        <w:gridCol w:w="5201"/>
      </w:tblGrid>
      <w:tr>
        <w:trPr>
          <w:tblHeader w:val="true"/>
        </w:trPr>
        <w:tc>
          <w:tcPr>
            <w:tcW w:type="dxa" w:w="132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Meaning</w:t>
            </w:r>
          </w:p>
        </w:tc>
        <w:tc>
          <w:tcPr>
            <w:tcW w:type="dxa" w:w="283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Who may sign</w:t>
            </w:r>
          </w:p>
        </w:tc>
        <w:tc>
          <w:tcPr>
            <w:tcW w:type="dxa" w:w="520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</w:t>
            </w:r>
          </w:p>
        </w:tc>
      </w:tr>
      <w:tr>
        <w:tc>
          <w:tcPr>
            <w:tcW w:type="dxa" w:w="13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Performed by</w:t>
            </w:r>
          </w:p>
        </w:tc>
        <w:tc>
          <w:tcPr>
            <w:tcW w:type="dxa" w:w="28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Analyst</w:t>
            </w:r>
          </w:p>
        </w:tc>
        <w:tc>
          <w:tcPr>
            <w:tcW w:type="dxa" w:w="52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Confirms execution/data entry is complete and attributable</w:t>
            </w:r>
          </w:p>
        </w:tc>
      </w:tr>
      <w:tr>
        <w:tc>
          <w:tcPr>
            <w:tcW w:type="dxa" w:w="13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28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Qualified Reviewer</w:t>
            </w:r>
          </w:p>
        </w:tc>
        <w:tc>
          <w:tcPr>
            <w:tcW w:type="dxa" w:w="52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Confirms source data, calculation, exceptions and audit trail were reviewed</w:t>
            </w:r>
          </w:p>
        </w:tc>
      </w:tr>
      <w:tr>
        <w:tc>
          <w:tcPr>
            <w:tcW w:type="dxa" w:w="13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28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Supervisor/QA as configured</w:t>
            </w:r>
          </w:p>
        </w:tc>
        <w:tc>
          <w:tcPr>
            <w:tcW w:type="dxa" w:w="52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Confirms result/record is approved for downstream use</w:t>
            </w:r>
          </w:p>
        </w:tc>
      </w:tr>
      <w:tr>
        <w:tc>
          <w:tcPr>
            <w:tcW w:type="dxa" w:w="13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Rejected by</w:t>
            </w:r>
          </w:p>
        </w:tc>
        <w:tc>
          <w:tcPr>
            <w:tcW w:type="dxa" w:w="28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Reviewer/Supervisor/QA</w:t>
            </w:r>
          </w:p>
        </w:tc>
        <w:tc>
          <w:tcPr>
            <w:tcW w:type="dxa" w:w="52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Returns record with required reason</w:t>
            </w:r>
          </w:p>
        </w:tc>
      </w:tr>
      <w:tr>
        <w:tc>
          <w:tcPr>
            <w:tcW w:type="dxa" w:w="132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Cancelled by</w:t>
            </w:r>
          </w:p>
        </w:tc>
        <w:tc>
          <w:tcPr>
            <w:tcW w:type="dxa" w:w="28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Authorised Supervisor/QA</w:t>
            </w:r>
          </w:p>
        </w:tc>
        <w:tc>
          <w:tcPr>
            <w:tcW w:type="dxa" w:w="52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Terminates workflow while retaining history and reason</w:t>
            </w:r>
          </w:p>
        </w:tc>
      </w:tr>
    </w:tbl>
    <w:p>
      <w:pPr>
        <w:spacing w:after="80"/>
      </w:pPr>
    </w:p>
    <w:p>
      <w:pPr>
        <w:pStyle w:val="Heading1"/>
      </w:pPr>
      <w:r>
        <w:t>3. Controls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Each signature belongs to one verified individual and is not reassigned.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Critical signatures require re-entry of corporate credentials or approved strong re-authentication.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Manifestation displays printed name, date/time and meaning on electronic and printed views.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Signature is linked to the record ID/version and cannot be copied to another record through ordinary means.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A critical post-signature change invalidates affected approvals and re-routes the workflow.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Failed signature attempts are logged.</w:t>
      </w:r>
    </w:p>
    <w:p>
      <w:pPr>
        <w:pStyle w:val="Heading1"/>
      </w:pPr>
      <w:r>
        <w:t>4. Signature accountability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Before access, each user completes training acknowledging that the electronic signature is legally and procedurally equivalent to their handwritten signature for authorised company records.</w:t>
      </w:r>
    </w:p>
    <w:p>
      <w:pPr>
        <w:pStyle w:val="Heading1"/>
      </w:pPr>
      <w:r>
        <w:t>5.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QCL-2026-ERES-001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[21 CFR Part 11 and EU Annex 11 Assessment](013_21_CFR_Part_11_and_EU_Annex_11_Assessment.md)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QCL-2026-URS-001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[User Requirements Specification](022_User_Requirements_Specification.md)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Specification](023_Functional_Specification.md)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[Configuration Specification](025_Configuration_Specification.md)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QCL-2026-RAC-001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[Role and Access Control Matrix](031_Role_and_Access_Control_Matrix.md)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Risk Assessment](038_Functional_Risk_Assessment.md)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QCL-2026-EST-001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[Electronic Signature Test Report](055_Electronic_Signature_Test_Report.md)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SOP-QC-LIMS-001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User Operation SOP](066_User_Operation_SOP.md)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QCL-2026-TRN-001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[Training Plan, Materials and Training Record](071_Training_Plan_Materials_and_Training_Record.md)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Vendor Solution Architect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CSV Lead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QCL-2026-ESS-001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QCL-2026-ESS-001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Electronic Signature Specification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