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Business Continuity and Disaster Recovery Plan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QCL-2026-BCP-001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Design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2026-10-31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QCL-2026-BCP-001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Design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2026-10-31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Objectives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Maintain safe QC operations during outage and restore the system without loss or uncontrolled duplication. Target RPO is 15 minutes and RTO is 8 hours for declared disaster.</w:t>
      </w:r>
    </w:p>
    <w:p>
      <w:pPr>
        <w:pStyle w:val="Heading1"/>
      </w:pPr>
      <w:r>
        <w:t>2. Scenario matrix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72"/>
        <w:gridCol w:w="2597"/>
        <w:gridCol w:w="2695"/>
        <w:gridCol w:w="2696"/>
      </w:tblGrid>
      <w:tr>
        <w:trPr>
          <w:tblHeader w:val="true"/>
        </w:trPr>
        <w:tc>
          <w:tcPr>
            <w:tcW w:type="dxa" w:w="137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Scenario</w:t>
            </w:r>
          </w:p>
        </w:tc>
        <w:tc>
          <w:tcPr>
            <w:tcW w:type="dxa" w:w="259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Immediate response</w:t>
            </w:r>
          </w:p>
        </w:tc>
        <w:tc>
          <w:tcPr>
            <w:tcW w:type="dxa" w:w="269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Continuity mode</w:t>
            </w:r>
          </w:p>
        </w:tc>
        <w:tc>
          <w:tcPr>
            <w:tcW w:type="dxa" w:w="269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Recovery</w:t>
            </w:r>
          </w:p>
        </w:tc>
      </w:tr>
      <w:tr>
        <w:tc>
          <w:tcPr>
            <w:tcW w:type="dxa" w:w="13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Application unavailable</w:t>
            </w:r>
          </w:p>
        </w:tc>
        <w:tc>
          <w:tcPr>
            <w:tcW w:type="dxa" w:w="25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Open P1 incident; confirm scope; notify QC/QA</w:t>
            </w:r>
          </w:p>
        </w:tc>
        <w:tc>
          <w:tcPr>
            <w:tcW w:type="dxa" w:w="2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Controlled paper sample receipt/results where authorised</w:t>
            </w:r>
          </w:p>
        </w:tc>
        <w:tc>
          <w:tcPr>
            <w:tcW w:type="dxa" w:w="2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Restore service; reconcile all contingency records</w:t>
            </w:r>
          </w:p>
        </w:tc>
      </w:tr>
      <w:tr>
        <w:tc>
          <w:tcPr>
            <w:tcW w:type="dxa" w:w="13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Interface gateway failure</w:t>
            </w:r>
          </w:p>
        </w:tc>
        <w:tc>
          <w:tcPr>
            <w:tcW w:type="dxa" w:w="25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Queue upstream messages; stop direct capture</w:t>
            </w:r>
          </w:p>
        </w:tc>
        <w:tc>
          <w:tcPr>
            <w:tcW w:type="dxa" w:w="2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Manual verified entry and controlled message log</w:t>
            </w:r>
          </w:p>
        </w:tc>
        <w:tc>
          <w:tcPr>
            <w:tcW w:type="dxa" w:w="2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Restore gateway; replay/reconcile by message ID</w:t>
            </w:r>
          </w:p>
        </w:tc>
      </w:tr>
      <w:tr>
        <w:tc>
          <w:tcPr>
            <w:tcW w:type="dxa" w:w="13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Cloud region disaster</w:t>
            </w:r>
          </w:p>
        </w:tc>
        <w:tc>
          <w:tcPr>
            <w:tcW w:type="dxa" w:w="25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Declare DR after supplier/company approval</w:t>
            </w:r>
          </w:p>
        </w:tc>
        <w:tc>
          <w:tcPr>
            <w:tcW w:type="dxa" w:w="2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Prioritise critical samples and paper controls</w:t>
            </w:r>
          </w:p>
        </w:tc>
        <w:tc>
          <w:tcPr>
            <w:tcW w:type="dxa" w:w="2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Activate standby region and reconcile to recovery point</w:t>
            </w:r>
          </w:p>
        </w:tc>
      </w:tr>
      <w:tr>
        <w:tc>
          <w:tcPr>
            <w:tcW w:type="dxa" w:w="13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Identity service unavailable</w:t>
            </w:r>
          </w:p>
        </w:tc>
        <w:tc>
          <w:tcPr>
            <w:tcW w:type="dxa" w:w="25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Use sealed break-glass accounts only if QA/IT approve</w:t>
            </w:r>
          </w:p>
        </w:tc>
        <w:tc>
          <w:tcPr>
            <w:tcW w:type="dxa" w:w="2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Restricted critical operation</w:t>
            </w:r>
          </w:p>
        </w:tc>
        <w:tc>
          <w:tcPr>
            <w:tcW w:type="dxa" w:w="2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Reconcile users/actions and disable break-glass</w:t>
            </w:r>
          </w:p>
        </w:tc>
      </w:tr>
      <w:tr>
        <w:tc>
          <w:tcPr>
            <w:tcW w:type="dxa" w:w="13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Cybersecurity event</w:t>
            </w:r>
          </w:p>
        </w:tc>
        <w:tc>
          <w:tcPr>
            <w:tcW w:type="dxa" w:w="25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Isolate affected component; preserve evidence</w:t>
            </w:r>
          </w:p>
        </w:tc>
        <w:tc>
          <w:tcPr>
            <w:tcW w:type="dxa" w:w="2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Use unaffected validated controls/manual process</w:t>
            </w:r>
          </w:p>
        </w:tc>
        <w:tc>
          <w:tcPr>
            <w:tcW w:type="dxa" w:w="2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Forensic assessment, clean recovery, QA release</w:t>
            </w:r>
          </w:p>
        </w:tc>
      </w:tr>
      <w:tr>
        <w:tc>
          <w:tcPr>
            <w:tcW w:type="dxa" w:w="13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Archive unavailable</w:t>
            </w:r>
          </w:p>
        </w:tc>
        <w:tc>
          <w:tcPr>
            <w:tcW w:type="dxa" w:w="25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Use secondary archive copy</w:t>
            </w:r>
          </w:p>
        </w:tc>
        <w:tc>
          <w:tcPr>
            <w:tcW w:type="dxa" w:w="2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Inspection retrieval by Records Management</w:t>
            </w:r>
          </w:p>
        </w:tc>
        <w:tc>
          <w:tcPr>
            <w:tcW w:type="dxa" w:w="2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Restore primary and verify integrity</w:t>
            </w:r>
          </w:p>
        </w:tc>
      </w:tr>
    </w:tbl>
    <w:p>
      <w:pPr>
        <w:spacing w:after="80"/>
      </w:pPr>
    </w:p>
    <w:p>
      <w:pPr>
        <w:pStyle w:val="Heading1"/>
      </w:pPr>
      <w:r>
        <w:t>3. Roles and communications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Incident Commander: IT Duty Manager. Business Continuity Lead: QC BPO. GxP impact: QA. Technical recovery: Supplier + IT. External/regulatory communication: Site Quality Head/Regulatory Affairs.</w:t>
      </w:r>
    </w:p>
    <w:p>
      <w:pPr>
        <w:pStyle w:val="Heading1"/>
      </w:pPr>
      <w:r>
        <w:t>4. Manual continuity controls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Pre-numbered controlled forms capture sample ID, source request, date/time, user, instrument/raw-data reference, result, unit, reason, verifier and later electronic reconciliation ID. Forms are issued/logged by QC and reconciled 100% after recovery.</w:t>
      </w:r>
    </w:p>
    <w:p>
      <w:pPr>
        <w:pStyle w:val="Heading1"/>
      </w:pPr>
      <w:r>
        <w:t>5. DR activation and exit criteria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Activation requires credible inability to restore primary service within RTO or site leadership decision. Exit requires application health, identity, interfaces, backup, data reconciliation, sample retrieval and QA/business approval.</w:t>
      </w:r>
    </w:p>
    <w:p>
      <w:pPr>
        <w:pStyle w:val="Heading1"/>
      </w:pPr>
      <w:r>
        <w:t>6. Exercise frequency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Annual technical DR exercise and annual business-continuity tabletop; additional exercise after material architecture change or failed recovery.</w:t>
      </w:r>
    </w:p>
    <w:p>
      <w:pPr>
        <w:pStyle w:val="Heading1"/>
      </w:pPr>
      <w:r>
        <w:t>7.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QCL-2026-CYB-001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[Cybersecurity and Privacy Impact Assessment](014_Cybersecurity_and_Privacy_Impact_Assessment.md)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QCL-2026-QTA-001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[Quality/Technical Agreement and Service Level Agreement](020_Quality_Technical_Agreement_and_SLA.md)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[System Design Specification](024_System_Design_Specification.md)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QCL-2026-IAD-001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[Infrastructure and Architecture Design](026_Infrastructure_and_Architecture_Design.md)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QCL-2026-BRS-001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[Backup and Restore Specification](034_Backup_and_Restore_Specification.md)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QCL-2026-DRT-001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[Failover and Disaster Recovery Test Report](058_Failover_and_Disaster_Recovery_Test_Report.md)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SOP-IT-LIMS-002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Operations, Maintenance, Backup, Incident, Change and Security SOP](069_Operations_Maintenance_Backup_Incident_Change_and_Security_SOP.md)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QCL-2026-CUT-001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[Cutover, Rollback and Contingency Plan](072_Cutover_Rollback_and_Contingency_Plan.md)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QCL-2027-INC-014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[Incident Record and Impact Assessment](085_Incident_Record_and_Impact_Assessment.md)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QCL-2028-DRE-001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[Business Continuity and Disaster Recovery Exercise Report](095_Business_Continuity_and_DR_Exercise_Report.md)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60"/>
        <w:gridCol w:w="3038"/>
        <w:gridCol w:w="3162"/>
      </w:tblGrid>
      <w:tr>
        <w:trPr>
          <w:tblHeader w:val="true"/>
        </w:trPr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3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1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Vendor Solution Architect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CSV Lead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2026-10-31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QCL-2026-BCP-001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QCL-2026-BCP-001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Continuity and Disaster Recovery Plan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