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Data Migration Strategy and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Migration objectives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Move active/required legacy data into QCLabOne and retain remaining historical records in ArchiveVault without loss of meaning, relationships, metadata, audit trail or retrievability.</w:t>
      </w:r>
    </w:p>
    <w:p>
      <w:pPr>
        <w:pStyle w:val="Heading1"/>
      </w:pPr>
      <w:r>
        <w:t>2. Scope and disposition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57"/>
        <w:gridCol w:w="2005"/>
        <w:gridCol w:w="4598"/>
      </w:tblGrid>
      <w:tr>
        <w:trPr>
          <w:tblHeader w:val="true"/>
        </w:trPr>
        <w:tc>
          <w:tcPr>
            <w:tcW w:type="dxa" w:w="27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Source</w:t>
            </w:r>
          </w:p>
        </w:tc>
        <w:tc>
          <w:tcPr>
            <w:tcW w:type="dxa" w:w="200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Volume</w:t>
            </w:r>
          </w:p>
        </w:tc>
        <w:tc>
          <w:tcPr>
            <w:tcW w:type="dxa" w:w="45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Disposition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 samples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86,742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2018–cutover active/required records migrated; all records archived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 results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326,115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Associated active records migrated; all results archived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24,806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Migrated or archived with SHA-256 checksum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Active stability pulls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1,984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Migrated with schedules and history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Stability/reagent/EM spreadsheets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12 controlled workbooks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Active data migrated after profiling; source preserved</w:t>
            </w:r>
          </w:p>
        </w:tc>
      </w:tr>
      <w:tr>
        <w:tc>
          <w:tcPr>
            <w:tcW w:type="dxa" w:w="2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Selected paper indexes</w:t>
            </w:r>
          </w:p>
        </w:tc>
        <w:tc>
          <w:tcPr>
            <w:tcW w:type="dxa" w:w="20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 indexes / 9,420 images</w:t>
            </w:r>
          </w:p>
        </w:tc>
        <w:tc>
          <w:tcPr>
            <w:tcW w:type="dxa" w:w="45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Index and approved image set archived; paper remains per retention</w:t>
            </w:r>
          </w:p>
        </w:tc>
      </w:tr>
    </w:tbl>
    <w:p>
      <w:pPr>
        <w:spacing w:after="80"/>
      </w:pPr>
    </w:p>
    <w:p>
      <w:pPr>
        <w:pStyle w:val="Heading1"/>
      </w:pPr>
      <w:r>
        <w:t>3. Migration phases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Source freeze/profile. 2. Mapping and transformation approval. 3. Trial migration 1—technical completeness. 4. Cleansing and rule refinement. 5. Trial migration 2—business/UAT and performance. 6. Production extraction and freeze. 7. Load, reconciliation and exception disposition. 8. Business/QA acceptance. 9. Legacy read-only period and final archive verification.</w:t>
      </w:r>
    </w:p>
    <w:p>
      <w:pPr>
        <w:pStyle w:val="Heading1"/>
      </w:pPr>
      <w:r>
        <w:t>4. Acceptance criteria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Source/target counts reconcile 100% or have approved explained exclusions.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Critical fields for migrated active records are checked 100%.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 statistically justified sample of noncritical fields meets ≥99.5% accuracy, with no systemic defect.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Attachments reconcile by count and checksum.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Parent/child relationships and audit histories pass defined checks.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No critical/high migration exception remains before go-live.</w:t>
      </w:r>
    </w:p>
    <w:p>
      <w:pPr>
        <w:pStyle w:val="Heading1"/>
      </w:pPr>
      <w:r>
        <w:t>5. Security and source protection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Extraction uses read-only accounts and encrypted transfer. Source backups are retained. Production source is frozen during final migration except approved emergency transactions, which are separately reconciled.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27"/>
        <w:gridCol w:w="2504"/>
        <w:gridCol w:w="3429"/>
      </w:tblGrid>
      <w:tr>
        <w:trPr>
          <w:tblHeader w:val="true"/>
        </w:trPr>
        <w:tc>
          <w:tcPr>
            <w:tcW w:type="dxa" w:w="342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50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4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 Lead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Data Owner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QCL-2026-DMP-001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QCL-2026-DMP-001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Migration Strategy and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