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Software Development and Source Control Plan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Development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Development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plan applies to the custom SAP, eQMS, CDS/SDMS, instrument and archive integrations plus site-specific report utility code. It does not govern the supplier’s standard product source code, which is covered by supplier qualification.</w:t>
      </w:r>
    </w:p>
    <w:p>
      <w:pPr>
        <w:pStyle w:val="Heading1"/>
      </w:pPr>
      <w:r>
        <w:t>2. Development lifecycle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20"/>
        <w:gridCol w:w="4400"/>
        <w:gridCol w:w="3440"/>
      </w:tblGrid>
      <w:tr>
        <w:trPr>
          <w:tblHeader w:val="true"/>
        </w:trPr>
        <w:tc>
          <w:tcPr>
            <w:tcW w:type="dxa" w:w="15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Stage</w:t>
            </w:r>
          </w:p>
        </w:tc>
        <w:tc>
          <w:tcPr>
            <w:tcW w:type="dxa" w:w="4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Required output</w:t>
            </w:r>
          </w:p>
        </w:tc>
        <w:tc>
          <w:tcPr>
            <w:tcW w:type="dxa" w:w="34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Plan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scope, architecture, standards and repository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coding before approved work item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Requirements/design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specification, mapping and error handling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Peer review and traceability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Implementation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 code and automated tests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Protected branch and named developer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Code review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Independent review checklist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self-approval of merge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 test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Normal, boundary, negative and failure cases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Automated result retained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Build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Reproducible signed artifact and software bill of materials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CI/CD service account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Promotion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 → TEST → VAL → PROD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Separate approver and checksum verification</w:t>
            </w:r>
          </w:p>
        </w:tc>
      </w:tr>
      <w:tr>
        <w:tc>
          <w:tcPr>
            <w:tcW w:type="dxa" w:w="1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Maintenance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Versioned change, regression and rollback</w:t>
            </w:r>
          </w:p>
        </w:tc>
        <w:tc>
          <w:tcPr>
            <w:tcW w:type="dxa" w:w="3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Change control</w:t>
            </w:r>
          </w:p>
        </w:tc>
      </w:tr>
    </w:tbl>
    <w:p>
      <w:pPr>
        <w:spacing w:after="80"/>
      </w:pPr>
    </w:p>
    <w:p>
      <w:pPr>
        <w:pStyle w:val="Heading1"/>
      </w:pPr>
      <w:r>
        <w:t>3. Repository and branching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Repository: `git/qclabone-integrations`. Protected `main` branch; feature branches reference approved work item. Pull request requires one independent technical reviewer and successful automated tests. Tags are immutable and signed.</w:t>
      </w:r>
    </w:p>
    <w:p>
      <w:pPr>
        <w:pStyle w:val="Heading1"/>
      </w:pPr>
      <w:r>
        <w:t>4. Coding and security standards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Input validation, idempotency, explicit error handling, least-privilege credentials, secret masking, structured logging, dependency scanning, no hard-coded credentials and UTC timestamps are mandatory. Third-party dependencies require approved licence and vulnerability review.</w:t>
      </w:r>
    </w:p>
    <w:p>
      <w:pPr>
        <w:pStyle w:val="Heading1"/>
      </w:pPr>
      <w:r>
        <w:t>5. Release versions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SAP 2.1.0; eQMS 1.4.1; CDS 2.3.0; instrument adapters 3.6.1; archive utility 1.0.0.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42"/>
        <w:gridCol w:w="3276"/>
        <w:gridCol w:w="3042"/>
      </w:tblGrid>
      <w:tr>
        <w:trPr>
          <w:tblHeader w:val="true"/>
        </w:trPr>
        <w:tc>
          <w:tcPr>
            <w:tcW w:type="dxa" w:w="30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2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0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2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Integration Development Lead</w:t>
            </w:r>
          </w:p>
        </w:tc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2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System Owner</w:t>
            </w:r>
          </w:p>
        </w:tc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2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QCL-2026-SDP-001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QCL-2026-SDP-001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Development and Source Control Plan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