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Code Review and Unit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Development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Development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Review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Code review covered the signed release tags for the five custom integration components and archive utility.</w:t>
      </w:r>
    </w:p>
    <w:p>
      <w:pPr>
        <w:pStyle w:val="Heading1"/>
      </w:pPr>
      <w:r>
        <w:t>2. Code-review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52"/>
        <w:gridCol w:w="4515"/>
        <w:gridCol w:w="2793"/>
      </w:tblGrid>
      <w:tr>
        <w:trPr>
          <w:tblHeader w:val="true"/>
        </w:trPr>
        <w:tc>
          <w:tcPr>
            <w:tcW w:type="dxa" w:w="20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Component</w:t>
            </w:r>
          </w:p>
        </w:tc>
        <w:tc>
          <w:tcPr>
            <w:tcW w:type="dxa" w:w="45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Files/changes reviewed</w:t>
            </w:r>
          </w:p>
        </w:tc>
        <w:tc>
          <w:tcPr>
            <w:tcW w:type="dxa" w:w="279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Review conclusion</w:t>
            </w:r>
          </w:p>
        </w:tc>
      </w:tr>
      <w:tr>
        <w:tc>
          <w:tcPr>
            <w:tcW w:type="dxa" w:w="2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connector 2.1.0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Message validation, idempotency, mapping, acknowledgement</w:t>
            </w:r>
          </w:p>
        </w:tc>
        <w:tc>
          <w:tcPr>
            <w:tcW w:type="dxa" w:w="2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2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eQMS connector 1.4.1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creation, retry, idempotency and status polling</w:t>
            </w:r>
          </w:p>
        </w:tc>
        <w:tc>
          <w:tcPr>
            <w:tcW w:type="dxa" w:w="2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 after DEF-003 correction</w:t>
            </w:r>
          </w:p>
        </w:tc>
      </w:tr>
      <w:tr>
        <w:tc>
          <w:tcPr>
            <w:tcW w:type="dxa" w:w="2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CDS connector 2.3.0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status, value/unit/context mapping and source link</w:t>
            </w:r>
          </w:p>
        </w:tc>
        <w:tc>
          <w:tcPr>
            <w:tcW w:type="dxa" w:w="2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2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 adapters 3.6.1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Device parsers, unit/range validation and queue</w:t>
            </w:r>
          </w:p>
        </w:tc>
        <w:tc>
          <w:tcPr>
            <w:tcW w:type="dxa" w:w="2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  <w:tr>
        <w:tc>
          <w:tcPr>
            <w:tcW w:type="dxa" w:w="2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utility 1.0.0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Manifest, checksum and filename normalization</w:t>
            </w:r>
          </w:p>
        </w:tc>
        <w:tc>
          <w:tcPr>
            <w:tcW w:type="dxa" w:w="2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</w:t>
            </w:r>
          </w:p>
        </w:tc>
      </w:tr>
    </w:tbl>
    <w:p>
      <w:pPr>
        <w:spacing w:after="80"/>
      </w:pPr>
    </w:p>
    <w:p>
      <w:pPr>
        <w:pStyle w:val="Heading1"/>
      </w:pPr>
      <w:r>
        <w:t>3. Unit-test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10"/>
        <w:gridCol w:w="2776"/>
        <w:gridCol w:w="3966"/>
        <w:gridCol w:w="1508"/>
      </w:tblGrid>
      <w:tr>
        <w:trPr>
          <w:tblHeader w:val="true"/>
        </w:trPr>
        <w:tc>
          <w:tcPr>
            <w:tcW w:type="dxa" w:w="1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 ID</w:t>
            </w:r>
          </w:p>
        </w:tc>
        <w:tc>
          <w:tcPr>
            <w:tcW w:type="dxa" w:w="27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396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Expected result</w:t>
            </w:r>
          </w:p>
        </w:tc>
        <w:tc>
          <w:tcPr>
            <w:tcW w:type="dxa" w:w="15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UT-SAP-001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 sample request mapping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Expected target object created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UT-SAP-002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Duplicate idempotency key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duplicate object; duplicate status returned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UT-SAP-003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Invalid mandatory field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Rejected with field error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UT-EQM-001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OOS case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One request and stored returned case ID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UT-EQM-002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Retry same request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duplicate case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code fix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UT-CDS-001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result mapping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Value/unit/context/link preserved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UT-CDS-002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Unapproved CDS status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UT-INS-001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Device parser and unit mapping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Correct normalized message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UT-INS-002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Out-of-range/unknown device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Quarantined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UT-ARC-001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manifest generation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files and hashes listed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UT-ARC-002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Special-character filename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Normalized target name; original metadata retained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UT-COM-001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Logging masks secrets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password/token in log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UT-COM-002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Retry backoff and dead-letter queue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1/5/15 min then queue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UT-COM-003</w:t>
            </w:r>
          </w:p>
        </w:tc>
        <w:tc>
          <w:tcPr>
            <w:tcW w:type="dxa" w:w="2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Timestamp/time-zone conversion</w:t>
            </w:r>
          </w:p>
        </w:tc>
        <w:tc>
          <w:tcPr>
            <w:tcW w:type="dxa" w:w="3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UTC retained; CST displayed</w:t>
            </w:r>
          </w:p>
        </w:tc>
        <w:tc>
          <w:tcPr>
            <w:tcW w:type="dxa" w:w="1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4. Static and dependency checks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critical/high static-analysis issue or known critical vulnerability remained in the approved build. Secrets scanning passed. Third-party component list and licences were accepted by IT Security.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Custom code is acceptable for FAT/SAT and formal interface verification. All identified issues are traceable in the defect log.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[Software Development and Source Control Plan](042_Software_Development_and_Source_Control_Plan.md)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42"/>
        <w:gridCol w:w="3276"/>
        <w:gridCol w:w="3042"/>
      </w:tblGrid>
      <w:tr>
        <w:trPr>
          <w:tblHeader w:val="true"/>
        </w:trPr>
        <w:tc>
          <w:tcPr>
            <w:tcW w:type="dxa" w:w="30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2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0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Integration Development Lead</w:t>
            </w:r>
          </w:p>
        </w:tc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QCL-2026-CRU-001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QCL-2026-CRU-001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and Unit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