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Validation Test Plan and Strategy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2027-02-28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Test strategy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Testing is risk-based and combines supplier evidence, scripted company tests and representative UAT. High-risk controls receive explicit normal, boundary, negative and failure testing.</w:t>
      </w:r>
    </w:p>
    <w:p>
      <w:pPr>
        <w:pStyle w:val="Heading1"/>
      </w:pPr>
      <w:r>
        <w:t>2. Test levels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70"/>
        <w:gridCol w:w="4515"/>
        <w:gridCol w:w="2875"/>
      </w:tblGrid>
      <w:tr>
        <w:trPr>
          <w:tblHeader w:val="true"/>
        </w:trPr>
        <w:tc>
          <w:tcPr>
            <w:tcW w:type="dxa" w:w="19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Level</w:t>
            </w:r>
          </w:p>
        </w:tc>
        <w:tc>
          <w:tcPr>
            <w:tcW w:type="dxa" w:w="451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Purpose</w:t>
            </w:r>
          </w:p>
        </w:tc>
        <w:tc>
          <w:tcPr>
            <w:tcW w:type="dxa" w:w="287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Primary evidence</w:t>
            </w:r>
          </w:p>
        </w:tc>
      </w:tr>
      <w:tr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 approved components, versions, environment, infrastructure and documents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IQ-001–015</w:t>
            </w:r>
          </w:p>
        </w:tc>
      </w:tr>
      <w:tr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Challenge configured functional and control behaviour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OQ-GEN/SMP/SPEC/LES/CALC/SEC/DI/OPS</w:t>
            </w:r>
          </w:p>
        </w:tc>
      </w:tr>
      <w:tr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Specialised verification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Interface, migration, access, audit trail, e-signature, backup, performance, DR and reports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IFT/SEC/ATC/EST/DMT/BRT/PLC/DRT/RPT</w:t>
            </w:r>
          </w:p>
        </w:tc>
      </w:tr>
      <w:tr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4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Demonstrate representative GMP processes with trained business roles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PQ-001–012</w:t>
            </w:r>
          </w:p>
        </w:tc>
      </w:tr>
    </w:tbl>
    <w:p>
      <w:pPr>
        <w:spacing w:after="80"/>
      </w:pPr>
    </w:p>
    <w:p>
      <w:pPr>
        <w:pStyle w:val="Heading1"/>
      </w:pPr>
      <w:r>
        <w:t>3. Test environment and data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Formal OQ/PQ uses validation environment `QCL-VAL-CN-E01`, matching the approved production release/configuration. Synthetic data set `TD-QCL-1.2` includes normal, boundary, invalid, OOS/OOT, multilingual, large-volume and migration scenarios.</w:t>
      </w:r>
    </w:p>
    <w:p>
      <w:pPr>
        <w:pStyle w:val="Heading1"/>
      </w:pPr>
      <w:r>
        <w:t>4. Evidence rules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Each step records tester, date/time, actual result and evidence reference. Screenshots alone are insufficient where logs, database-independent reports, source/target comparisons or exported audit trails provide better evidence. Corrections to test records follow good documentation practice.</w:t>
      </w:r>
    </w:p>
    <w:p>
      <w:pPr>
        <w:pStyle w:val="Heading1"/>
      </w:pPr>
      <w:r>
        <w:t>5. Defect/deviation classification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Critical—credible patient/product/data loss risk and no workaround; High—major GxP function fails; Medium—control gap with contained impact; Low—minor usability/documentation issue. Failed expected results require a defect and, where protocol execution deviates, a validation deviation.</w:t>
      </w:r>
    </w:p>
    <w:p>
      <w:pPr>
        <w:pStyle w:val="Heading1"/>
      </w:pPr>
      <w:r>
        <w:t>6. Entry/exit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Entry: approved URS/design/FRA/scripts, stable build, trained testers and controlled data. Exit: all required tests executed, no open Critical/High item, Medium items resolved or accepted, traceability complete and test summary approved.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Validation Plan](015_Project_Validation_Plan.md)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[Initial Requirements Traceability Matrix](039_Initial_Requirements_Traceability_Matrix.md)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2027-02-28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QCL-2026-VTP-001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QCL-2026-VTP-001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Test Plan and Strategy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