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Operational Qualification Protocol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OQ challenged configured functional behaviour, including negative and boundary conditions, against approved URS, specifications and FRA controls.</w:t>
      </w:r>
    </w:p>
    <w:p>
      <w:pPr>
        <w:pStyle w:val="Heading1"/>
      </w:pPr>
      <w:r>
        <w:t>2. Executed OQ cases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72"/>
        <w:gridCol w:w="5784"/>
        <w:gridCol w:w="841"/>
        <w:gridCol w:w="1263"/>
      </w:tblGrid>
      <w:tr>
        <w:trPr>
          <w:tblHeader w:val="true"/>
        </w:trPr>
        <w:tc>
          <w:tcPr>
            <w:tcW w:type="dxa" w:w="147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ID</w:t>
            </w:r>
          </w:p>
        </w:tc>
        <w:tc>
          <w:tcPr>
            <w:tcW w:type="dxa" w:w="57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8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Type</w:t>
            </w:r>
          </w:p>
        </w:tc>
        <w:tc>
          <w:tcPr>
            <w:tcW w:type="dxa" w:w="126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Result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SAP-origin sample request; generate sample ID and barcode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receipt, reject, transfer, aliquot and disposal with custody history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 tests from effective specification and block closure with open work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OQ-SMP-004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Calculate stability pull date and overdue alert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Create, approve, effective-date and obsolete a specification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historical record retains original specification/method version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OQ-SPEC-003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numeric, qualitative, text and enumerated result types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Execute approved LES steps and enforce prerequisites/mandatory fields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Capture reagent, standard, instrument and lot references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Direct capture from balance, pH meter and TOC analyzer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OQ-LES-004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entry reason and independent verification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OQ-LES-005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Pause, abort, repeat-test and exception dashboard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OQ-LES-006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Prevent analyst self-approval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assay and dilution formula calculations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significant figures, rounding and boundary limits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OQ-CALC-003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formula history and controlled change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SSO, unique account and disabled local login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positive/negative permissions for each business role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session lock and account disablement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OQ-SEC-004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vendor remote access approval, timeout and logging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OQ-DI-001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system time synchronization and timezone control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OQ-DI-002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record retention and routine deletion restrictions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OQ-OPS-001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Generate access, audit trail, backup and operational reports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OQ-GEN-001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application/environment/version display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OQ-GEN-002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unique identifier non-reuse and production baseline control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Representative actual results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Duplicate sample ID and self-approval attempts were rejected.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Historical specifications remained unchanged after a new version became effective.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Formula outputs matched independent references, including rounding and limit boundaries.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Manual critical result required reason and independent verification.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Local interactive login was disabled; session lock occurred at 15 minutes.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Routine users could not delete GxP records.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Required operational reports were generated.</w:t>
      </w:r>
    </w:p>
    <w:p>
      <w:pPr>
        <w:pStyle w:val="Heading1"/>
      </w:pPr>
      <w:r>
        <w:t>4. Exceptions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 trail-specific configuration failure was managed under DEV-001 and retested in Document 054. No other unresolved OQ issue remained.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planned OQ cases passed after controlled correction/retest. Configured functions are suitable to proceed to PQ/UAT.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QCL-2026-OQ-001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QCL-2026-OQ-001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Qualification Protocol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