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Interface Test Protocol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accurate, complete, secure and recoverable transfer of GxP data across SAP, eQMS, CDS/SDMS, instruments, identity and archive interfaces.</w:t>
      </w:r>
    </w:p>
    <w:p>
      <w:pPr>
        <w:pStyle w:val="Heading1"/>
      </w:pPr>
      <w:r>
        <w:t>2. Interface test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65"/>
        <w:gridCol w:w="5362"/>
        <w:gridCol w:w="877"/>
        <w:gridCol w:w="1756"/>
      </w:tblGrid>
      <w:tr>
        <w:trPr>
          <w:tblHeader w:val="true"/>
        </w:trPr>
        <w:tc>
          <w:tcPr>
            <w:tcW w:type="dxa" w:w="136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ID</w:t>
            </w:r>
          </w:p>
        </w:tc>
        <w:tc>
          <w:tcPr>
            <w:tcW w:type="dxa" w:w="53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8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17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IFT-SAP-001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Inbound SAP sample request happy path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IFT-SAP-002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Duplicate and malformed SAP message handling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IFT-SAP-003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Outbound inspection status/result acknowledgement and reconciliation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IFT-EQM-001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one OOS/OOT case and receive case ID/status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IFT-EQM-002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Retry without duplicate eQMS case creation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DEF-003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IFT-CDS-001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Transfer approved result, unit, sequence ID, method version and link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IFT-CDS-002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 unapproved or inconsistent CDS result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IFT-INS-001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message source identity, unit and timestamp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IFT-INS-002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queue and authorized reprocessing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IFT-ALL-001</w:t>
            </w:r>
          </w:p>
        </w:tc>
        <w:tc>
          <w:tcPr>
            <w:tcW w:type="dxa" w:w="5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outage contingency entry and reconciliation</w:t>
            </w:r>
          </w:p>
        </w:tc>
        <w:tc>
          <w:tcPr>
            <w:tcW w:type="dxa" w:w="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1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Reconciliation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97"/>
        <w:gridCol w:w="1816"/>
        <w:gridCol w:w="1117"/>
        <w:gridCol w:w="3352"/>
        <w:gridCol w:w="1678"/>
      </w:tblGrid>
      <w:tr>
        <w:trPr>
          <w:tblHeader w:val="true"/>
        </w:trPr>
        <w:tc>
          <w:tcPr>
            <w:tcW w:type="dxa" w:w="13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Interface</w:t>
            </w:r>
          </w:p>
        </w:tc>
        <w:tc>
          <w:tcPr>
            <w:tcW w:type="dxa" w:w="1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Messages sent</w:t>
            </w:r>
          </w:p>
        </w:tc>
        <w:tc>
          <w:tcPr>
            <w:tcW w:type="dxa" w:w="111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Accepted</w:t>
            </w:r>
          </w:p>
        </w:tc>
        <w:tc>
          <w:tcPr>
            <w:tcW w:type="dxa" w:w="33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Rejected/test exceptions</w:t>
            </w:r>
          </w:p>
        </w:tc>
        <w:tc>
          <w:tcPr>
            <w:tcW w:type="dxa" w:w="167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Unreconciled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 inbound/outbound</w:t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2,540</w:t>
            </w:r>
          </w:p>
        </w:tc>
        <w:tc>
          <w:tcPr>
            <w:tcW w:type="dxa" w:w="1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2,510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intentional negative cases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</w:t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118</w:t>
            </w:r>
          </w:p>
        </w:tc>
        <w:tc>
          <w:tcPr>
            <w:tcW w:type="dxa" w:w="1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112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 intentional/timeout cases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CDS/SDMS</w:t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1,024</w:t>
            </w:r>
          </w:p>
        </w:tc>
        <w:tc>
          <w:tcPr>
            <w:tcW w:type="dxa" w:w="1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1,010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 intentional invalid/unapproved cases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Instruments</w:t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3,600</w:t>
            </w:r>
          </w:p>
        </w:tc>
        <w:tc>
          <w:tcPr>
            <w:tcW w:type="dxa" w:w="1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3,540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intentional device/range/unit cases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</w:t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250 packages</w:t>
            </w:r>
          </w:p>
        </w:tc>
        <w:tc>
          <w:tcPr>
            <w:tcW w:type="dxa" w:w="11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250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pStyle w:val="Heading1"/>
      </w:pPr>
      <w:r>
        <w:t>4. Deviations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DEV-003 addressed duplicate eQMS case creation during retry. Connector 1.4.1 introduced idempotency and lookup logic; repeat test passed. No production data was involved.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Interfaces preserve required values/context, detect failures and reconcile to zero unexplained messages. Interface controls are acceptable.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QCL-2026-IFT-001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QCL-2026-IFT-001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Test Protocol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