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Data Migration Test and Reconciliation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Demonstrate that the approved mapping and migration tooling preserve completeness, accuracy, relationships, metadata, attachments and retrievability.</w:t>
      </w:r>
    </w:p>
    <w:p>
      <w:pPr>
        <w:pStyle w:val="Heading1"/>
      </w:pPr>
      <w:r>
        <w:t>2. Trial migration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918"/>
        <w:gridCol w:w="3197"/>
        <w:gridCol w:w="2732"/>
        <w:gridCol w:w="793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Test</w:t>
            </w:r>
          </w:p>
        </w:tc>
        <w:tc>
          <w:tcPr>
            <w:tcW w:type="dxa" w:w="191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319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Population</w:t>
            </w:r>
          </w:p>
        </w:tc>
        <w:tc>
          <w:tcPr>
            <w:tcW w:type="dxa" w:w="27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Actual result</w:t>
            </w:r>
          </w:p>
        </w:tc>
        <w:tc>
          <w:tcPr>
            <w:tcW w:type="dxa" w:w="79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Outcome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Trial extraction counts/checksums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10,000 samples / 38,000 results / 2,000 attachments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Counts and source checksums captured</w:t>
            </w:r>
          </w:p>
        </w:tc>
        <w:tc>
          <w:tcPr>
            <w:tcW w:type="dxa" w:w="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DMT-002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Critical field mapping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of 12 defined critical fields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unexplained mismatch</w:t>
            </w:r>
          </w:p>
        </w:tc>
        <w:tc>
          <w:tcPr>
            <w:tcW w:type="dxa" w:w="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DMT-003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Attachments/special characters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2,000 files incl. 24 special-character names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All binary hashes match after rule update</w:t>
            </w:r>
          </w:p>
        </w:tc>
        <w:tc>
          <w:tcPr>
            <w:tcW w:type="dxa" w:w="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 after DEV-002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DMT-004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Relationships/audit trail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10,000 sample-test-result relationships; 5,000 audit events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referential integrity</w:t>
            </w:r>
          </w:p>
        </w:tc>
        <w:tc>
          <w:tcPr>
            <w:tcW w:type="dxa" w:w="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DMT-005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Archive-only retrieval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200 stratified records, 50 attachments, 50 audit histories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All readable/retrievable and matched source</w:t>
            </w:r>
          </w:p>
        </w:tc>
        <w:tc>
          <w:tcPr>
            <w:tcW w:type="dxa" w:w="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DMT-006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Exception and rerun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42 intentional exceptions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All dispositioned; rerun produced no duplicates</w:t>
            </w:r>
          </w:p>
        </w:tc>
        <w:tc>
          <w:tcPr>
            <w:tcW w:type="dxa" w:w="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Statistical and field verification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Critical fields were checked 100% for the trial population. A stratified sample of 1,200 noncritical fields had 1,200 matches after correction, exceeding the ≥99.5% criterion. Attachment hashes matched 100%.</w:t>
      </w:r>
    </w:p>
    <w:p>
      <w:pPr>
        <w:pStyle w:val="Heading1"/>
      </w:pPr>
      <w:r>
        <w:t>4. Exception summary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DEV-002 covered unsupported filename characters. Storage names were normalized while original names remained in metadata; all binary hashes matched. No systemic mapping defect remained.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Migration tooling and mappings are acceptable for production execution using the approved plan and version `MAP-2.3`.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QCL-2026-DMT-001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QCL-2026-DMT-001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Migration Test and Reconciliation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