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Test Summary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report summarises formal qualification/validation execution from FAT through PQ and specialised verification.</w:t>
      </w:r>
    </w:p>
    <w:p>
      <w:pPr>
        <w:pStyle w:val="Heading1"/>
      </w:pPr>
      <w:r>
        <w:t>2. Test execution summary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23"/>
        <w:gridCol w:w="1523"/>
        <w:gridCol w:w="1741"/>
        <w:gridCol w:w="2394"/>
        <w:gridCol w:w="2179"/>
      </w:tblGrid>
      <w:tr>
        <w:trPr>
          <w:tblHeader w:val="true"/>
        </w:trPr>
        <w:tc>
          <w:tcPr>
            <w:tcW w:type="dxa" w:w="15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15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Planned</w:t>
            </w:r>
          </w:p>
        </w:tc>
        <w:tc>
          <w:tcPr>
            <w:tcW w:type="dxa" w:w="17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Executed</w:t>
            </w:r>
          </w:p>
        </w:tc>
        <w:tc>
          <w:tcPr>
            <w:tcW w:type="dxa" w:w="23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Open failed</w:t>
            </w:r>
          </w:p>
        </w:tc>
        <w:tc>
          <w:tcPr>
            <w:tcW w:type="dxa" w:w="217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Conclusion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Backup/Restore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DR/Failover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E-signature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Migration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25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25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PQ/UAT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Performance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5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23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21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Issue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Defects: 6 total; 0 Critical/High; all closed.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Validation deviations: 4 total; all closed.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CAPA: 1 validation-process CAPA; implemented and later effectiveness-checked.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No unexplained data mismatch, lost record, uncontrolled signature or open high risk remained.</w:t>
      </w:r>
    </w:p>
    <w:p>
      <w:pPr>
        <w:pStyle w:val="Heading1"/>
      </w:pPr>
      <w:r>
        <w:t>4. Acceptance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98 catalogue tests were executed and passed after controlled correction/retest where noted. All Must URS have passing evidence. Performance, restore and DR targets were achieved.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Testing is complete and supports approval of final traceability and the Validation Summary Report.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QCL-2026-TSR-001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QCL-2026-TSR-001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Summary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