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Final Requirements Traceability Matrix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Traceability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Traceability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final RTM demonstrates end-to-end traceability from approved requirements through risk, functional/design controls and completed verification.</w:t>
      </w:r>
    </w:p>
    <w:p>
      <w:pPr>
        <w:pStyle w:val="Heading1"/>
      </w:pPr>
      <w:r>
        <w:t>2. Final matrix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802"/>
        <w:gridCol w:w="1738"/>
        <w:gridCol w:w="1738"/>
        <w:gridCol w:w="2273"/>
        <w:gridCol w:w="1203"/>
        <w:gridCol w:w="1606"/>
      </w:tblGrid>
      <w:tr>
        <w:trPr>
          <w:tblHeader w:val="true"/>
        </w:trPr>
        <w:tc>
          <w:tcPr>
            <w:tcW w:type="dxa" w:w="8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URS</w:t>
            </w:r>
          </w:p>
        </w:tc>
        <w:tc>
          <w:tcPr>
            <w:tcW w:type="dxa" w:w="17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FRA reference</w:t>
            </w:r>
          </w:p>
        </w:tc>
        <w:tc>
          <w:tcPr>
            <w:tcW w:type="dxa" w:w="17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Specification</w:t>
            </w:r>
          </w:p>
        </w:tc>
        <w:tc>
          <w:tcPr>
            <w:tcW w:type="dxa" w:w="227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Executed evidence</w:t>
            </w:r>
          </w:p>
        </w:tc>
        <w:tc>
          <w:tcPr>
            <w:tcW w:type="dxa" w:w="1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Deviation</w:t>
            </w:r>
          </w:p>
        </w:tc>
        <w:tc>
          <w:tcPr>
            <w:tcW w:type="dxa" w:w="160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Final result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PQ-001, PQ-003, PQ-004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OQ-GEN-002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OQ-GEN-001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IQ-005, OQ-DI-001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URS-GEN-005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FS-GEN-001, FS-SPEC-003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IQ-013, OQ-GEN-002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FRA-001, FRA-002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OQ-SMP-001, IFT-SAP-001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OQ-SMP-002, PQ-006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URS-SMP-008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FS-SMP-005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OQ-SMP-004, PQ-004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FRA-008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OQ-SPEC-001, SEC-001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FRA-009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URS-SPEC-005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FRA-008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FS-SPEC-003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OQ-SPEC-001, EST-001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FS-LES-005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OQ-LES-005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FS-LES-006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OQ-LES-006, SEC-002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URS-LES-008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FS-LES-005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OQ-LES-005, PQ-010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URS-CALC-005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FS-CALC-004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OQ-CALC-003, REG-007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FRA-001, FRA-020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FS-SMP-001, FS-INT-001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IFT-SAP-001, IFT-SAP-003, PQ-009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FRA-018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IFT-EQM-001, IFT-EQM-002, PQ-005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DEV-003 closed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FRA-019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IFT-CDS-001, IFT-CDS-002, PQ-002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IFT-INS-002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IFT-SAP-003, IFT-INS-002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URS-INT-006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FS-INT-005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IFT-ALL-001, PQ-007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OQ-SEC-001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OQ-SEC-003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OQ-SEC-004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URS-SEC-007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FS-SEC-005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ATC-001, ATC-002, ATC-005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DEV-001 closed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ATC-003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DEV-001 closed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ATC-004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FS-DI-003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ATC-004, PQ-008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DMT-005, PQ-011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FS-DI-004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OQ-DI-002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FS-DI-005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DMT-001, DMT-002, DMT-003, DMT-004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DEV-002 closed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URS-DI-008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FS-DI-006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IQ-005, OQ-DI-001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FS-ESIG-001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EST-001, EST-003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FS-ESIG-002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EST-002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FS-ESIG-001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EST-001, EST-004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URS-ESIG-004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FRA-026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FS-ESIG-002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EST-003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FS-REP-001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RPT-001, PQ-009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FS-REP-001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RPT-001, RPT-002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FS-REP-002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URS-REP-004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FRA-027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FS-REP-002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RPT-004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FRA-028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FS-BCP-001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BRT-001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FRA-029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FS-BCP-002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DRT-002, DRT-003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FRA-028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FS-BCP-001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BRT-002, BRT-003, BRT-004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URS-BCP-004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FRA-029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FS-BCP-002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DRT-004, PQ-007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FS-MIG-001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DMT-001, DMT-002, DMT-004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DEV-002 closed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FS-MIG-001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DMT-005, PQ-011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FRA-030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FS-MIG-002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DMT-006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DEV-002 closed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URS-MIG-004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FS-MIG-002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DMT-001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URS-OPS-001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FS-OPS-001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OQ-OPS-001, PQ-012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URS-OPS-002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FS-OPS-002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PQ-012, SPR-Review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FRA-033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FS-OPS-001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PQ-012, PRR-001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URS-OPS-004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FRA-035</w:t>
            </w:r>
          </w:p>
        </w:tc>
        <w:tc>
          <w:tcPr>
            <w:tcW w:type="dxa" w:w="17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FS-OPS-002</w:t>
            </w:r>
          </w:p>
        </w:tc>
        <w:tc>
          <w:tcPr>
            <w:tcW w:type="dxa" w:w="22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PQ-011, RET-Verification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None</w:t>
            </w:r>
          </w:p>
        </w:tc>
        <w:tc>
          <w:tcPr>
            <w:tcW w:type="dxa" w:w="16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Coverage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72 URS are approved and covered. All Must requirements passed. No requirement is deferred or not applicable. Deviations linked to affected requirements are closed.</w:t>
      </w: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[Initial Requirements Traceability Matrix](039_Initial_Requirements_Traceability_Matrix.md)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2027-06-05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QCL-2026-RTM-002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QCL-2026-RTM-002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Requirements Traceability Matrix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