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Retention, Archiving and Record Retrieval SOP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SOP controls retention, archive transfer, integrity verification, authorised retrieval and final disposition of QCLabOne and Legacy LIMS records.</w:t>
      </w:r>
    </w:p>
    <w:p>
      <w:pPr>
        <w:pStyle w:val="Heading1"/>
      </w:pPr>
      <w:r>
        <w:t>2. Retention schedule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55"/>
        <w:gridCol w:w="3651"/>
        <w:gridCol w:w="1725"/>
        <w:gridCol w:w="1329"/>
      </w:tblGrid>
      <w:tr>
        <w:trPr>
          <w:tblHeader w:val="true"/>
        </w:trPr>
        <w:tc>
          <w:tcPr>
            <w:tcW w:type="dxa" w:w="26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Record class</w:t>
            </w:r>
          </w:p>
        </w:tc>
        <w:tc>
          <w:tcPr>
            <w:tcW w:type="dxa" w:w="36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Retention rule</w:t>
            </w:r>
          </w:p>
        </w:tc>
        <w:tc>
          <w:tcPr>
            <w:tcW w:type="dxa" w:w="172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Repository</w:t>
            </w:r>
          </w:p>
        </w:tc>
        <w:tc>
          <w:tcPr>
            <w:tcW w:type="dxa" w:w="13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Owner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QC sample/test/result record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Product/batch retention requirement; at least 1 year after expiry unless longer rule applies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then ArchiveVault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Records Owner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and electronic signature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Same as associated record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With record package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Data Integrity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Specification/method/calculation version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 life plus related record retention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QCLabOne/eDMS archive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Master Data Owner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 link and local summary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Same as related test/investigation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+ eQMS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messages/reconciliation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 years online; longer when linked to record/incident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Log/archive repository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Access/change/incident/backup evidence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life + 2 years or longer if related to GMP investigation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eQMS/eDMS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Owner/QA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LIMS archive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Original required retention by record class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ArchiveVault read-only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</w:t>
            </w:r>
          </w:p>
        </w:tc>
      </w:tr>
      <w:tr>
        <w:tc>
          <w:tcPr>
            <w:tcW w:type="dxa" w:w="2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Validation/retirement dossier index</w:t>
            </w:r>
          </w:p>
        </w:tc>
        <w:tc>
          <w:tcPr>
            <w:tcW w:type="dxa" w:w="36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Permanent index; evidence per applicable schedule</w:t>
            </w:r>
          </w:p>
        </w:tc>
        <w:tc>
          <w:tcPr>
            <w:tcW w:type="dxa" w:w="17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eDMS</w:t>
            </w:r>
          </w:p>
        </w:tc>
        <w:tc>
          <w:tcPr>
            <w:tcW w:type="dxa" w:w="13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</w:t>
            </w:r>
          </w:p>
        </w:tc>
      </w:tr>
    </w:tbl>
    <w:p>
      <w:pPr>
        <w:spacing w:after="80"/>
      </w:pPr>
    </w:p>
    <w:p>
      <w:pPr>
        <w:pStyle w:val="Heading1"/>
      </w:pPr>
      <w:r>
        <w:t>3. Archive package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package contains PDF/A rendering where applicable, structured metadata/data, attachments, audit trail, signature manifestation, version references and SHA-256 manifest. Transfer is reconciled and the archive is read-only.</w:t>
      </w:r>
    </w:p>
    <w:p>
      <w:pPr>
        <w:pStyle w:val="Heading1"/>
      </w:pPr>
      <w:r>
        <w:t>4. Retrieval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Authorised users search by sample ID, batch, material, date, test and legacy reference. Retrieval records requester, purpose and date. Inspection requests receive complete readable copies without altering originals.</w:t>
      </w:r>
    </w:p>
    <w:p>
      <w:pPr>
        <w:pStyle w:val="Heading1"/>
      </w:pPr>
      <w:r>
        <w:t>5. Archive verification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Before source deletion or retirement, verify package counts/checksums, metadata relationships, sample retrieval, audit trail, attachments and signature context. Failures require incident/deviation and prevent decommissioning.</w:t>
      </w:r>
    </w:p>
    <w:p>
      <w:pPr>
        <w:pStyle w:val="Heading1"/>
      </w:pPr>
      <w:r>
        <w:t>6. Disposition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routine user can purge records. Final deletion after retention requires Records Management and Quality approval, legal-hold check, documented list, secure deletion evidence and inventory update.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Training/Procedure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Department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SOP-QA-ARC-001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SOP-QA-ARC-001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Retention, Archiving and Record Retrieval SOP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