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Cutover, Rollback and Contingency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plan controls production cutover from Legacy LIMS/hybrid processes to QCLabOne, including contingency and rollback.</w:t>
      </w:r>
    </w:p>
    <w:p>
      <w:pPr>
        <w:pStyle w:val="Heading1"/>
      </w:pPr>
      <w:r>
        <w:t>2. Cutover schedule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22"/>
        <w:gridCol w:w="4326"/>
        <w:gridCol w:w="2123"/>
        <w:gridCol w:w="1889"/>
      </w:tblGrid>
      <w:tr>
        <w:trPr>
          <w:tblHeader w:val="true"/>
        </w:trPr>
        <w:tc>
          <w:tcPr>
            <w:tcW w:type="dxa" w:w="10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Timing</w:t>
            </w:r>
          </w:p>
        </w:tc>
        <w:tc>
          <w:tcPr>
            <w:tcW w:type="dxa" w:w="432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Activity</w:t>
            </w:r>
          </w:p>
        </w:tc>
        <w:tc>
          <w:tcPr>
            <w:tcW w:type="dxa" w:w="212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Owner</w:t>
            </w:r>
          </w:p>
        </w:tc>
        <w:tc>
          <w:tcPr>
            <w:tcW w:type="dxa" w:w="188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T-14 days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 change freeze, final migration list, users/training, support roster and rollback environment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owners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T-7 days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LIMS configuration/data-entry freeze except approved business transactions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Owner/QC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T-3 days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Final production backup, certificate check, configuration checksum and cutover rehearsal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IT/Supplier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T-1 day 18:00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Stop routine Legacy LIMS entry; begin controlled contingency log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BPO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T0 18:30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Final extraction of legacy/Excel active data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Lead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T0 20:00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Load and automated reconciliation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Migration/Supplier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T+1 02:00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critical-field and sample verification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QC/QA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T+1 06:00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smoke test, backup check and production baseline verification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IT/System Owner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T+1 08:00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Go/no-go meeting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Sponsor/BPO/System Owner/QA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</w:t>
            </w:r>
          </w:p>
        </w:tc>
      </w:tr>
      <w:tr>
        <w:tc>
          <w:tcPr>
            <w:tcW w:type="dxa" w:w="10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T+1 09:00</w:t>
            </w:r>
          </w:p>
        </w:tc>
        <w:tc>
          <w:tcPr>
            <w:tcW w:type="dxa" w:w="4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Enable users and interfaces; start hypercare</w:t>
            </w:r>
          </w:p>
        </w:tc>
        <w:tc>
          <w:tcPr>
            <w:tcW w:type="dxa" w:w="2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</w:tbl>
    <w:p>
      <w:pPr>
        <w:spacing w:after="80"/>
      </w:pPr>
    </w:p>
    <w:p>
      <w:pPr>
        <w:pStyle w:val="Heading1"/>
      </w:pPr>
      <w:r>
        <w:t>3. Go/no-go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Production migration accepted; no Critical/High discrepancy; baseline/version correct; SAP/eQMS/CDS/instrument smoke tests pass; backup succeeds; support available; procedures/training effective; no unresolved product/data-integrity concern.</w:t>
      </w:r>
    </w:p>
    <w:p>
      <w:pPr>
        <w:pStyle w:val="Heading1"/>
      </w:pPr>
      <w:r>
        <w:t>4. Rollback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Rollback is considered for corrupted/incomplete migration that cannot be corrected within window, unavailable critical workflow/interface beyond agreed cutover window, signature/audit failure, security compromise or inability to reconcile transactions. QA and BPO decide with System Owner.</w:t>
      </w:r>
    </w:p>
    <w:p>
      <w:pPr>
        <w:pStyle w:val="Heading1"/>
      </w:pPr>
      <w:r>
        <w:t>5. Rollback method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Disable new entries/interfaces, preserve QCLabOne evidence, restore Legacy LIMS controlled write access from approved state if safe, reconcile all contingency/new-system transactions and issue communication. Rollback does not delete QCLabOne evidence.</w:t>
      </w:r>
    </w:p>
    <w:p>
      <w:pPr>
        <w:pStyle w:val="Heading1"/>
      </w:pPr>
      <w:r>
        <w:t>6. Hypercare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Four weeks of 07:00–22:00 on-site/remote coverage plus 24×7 P1 support. Daily review covers incidents, queues, audit/signature anomalies, backup and user issues.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QCL-2026-CUT-001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QCL-2026-CUT-001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Cutover, Rollback and Contingency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