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Production Data Migration Execution and Reconciliation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Execution window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Final extraction began 2027-06-14 18:32 CST. Load completed 2027-06-15 02:18. Reconciliation and business verification completed 06:25.</w:t>
      </w:r>
    </w:p>
    <w:p>
      <w:pPr>
        <w:pStyle w:val="Heading1"/>
      </w:pPr>
      <w:r>
        <w:t>2. Production reconciliation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18"/>
        <w:gridCol w:w="1283"/>
        <w:gridCol w:w="2139"/>
        <w:gridCol w:w="2941"/>
        <w:gridCol w:w="1179"/>
      </w:tblGrid>
      <w:tr>
        <w:trPr>
          <w:tblHeader w:val="true"/>
        </w:trPr>
        <w:tc>
          <w:tcPr>
            <w:tcW w:type="dxa" w:w="18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Data set</w:t>
            </w:r>
          </w:p>
        </w:tc>
        <w:tc>
          <w:tcPr>
            <w:tcW w:type="dxa" w:w="128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Source count</w:t>
            </w:r>
          </w:p>
        </w:tc>
        <w:tc>
          <w:tcPr>
            <w:tcW w:type="dxa" w:w="213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Target/archive count</w:t>
            </w:r>
          </w:p>
        </w:tc>
        <w:tc>
          <w:tcPr>
            <w:tcW w:type="dxa" w:w="29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Difference/disposition</w:t>
            </w:r>
          </w:p>
        </w:tc>
        <w:tc>
          <w:tcPr>
            <w:tcW w:type="dxa" w:w="117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Result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sample records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86,742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86,742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result records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326,115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326,115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Attachments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24,806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24,806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0; 312 names normalized with original metadata retained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hashes match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Active stability pulls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1,984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1,984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spreadsheet active rows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14,228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14,224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 approved exclusions: cancelled duplicate rows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explained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audit events in archive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1,482,610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1,482,610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</w:t>
            </w:r>
          </w:p>
        </w:tc>
      </w:tr>
      <w:tr>
        <w:tc>
          <w:tcPr>
            <w:tcW w:type="dxa" w:w="1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 record packages</w:t>
            </w:r>
          </w:p>
        </w:tc>
        <w:tc>
          <w:tcPr>
            <w:tcW w:type="dxa" w:w="12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112,604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112,604</w:t>
            </w:r>
          </w:p>
        </w:tc>
        <w:tc>
          <w:tcPr>
            <w:tcW w:type="dxa" w:w="2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manifest/checksum</w:t>
            </w:r>
          </w:p>
        </w:tc>
      </w:tr>
    </w:tbl>
    <w:p>
      <w:pPr>
        <w:spacing w:after="80"/>
      </w:pPr>
    </w:p>
    <w:p>
      <w:pPr>
        <w:pStyle w:val="Heading1"/>
      </w:pPr>
      <w:r>
        <w:t>3. Critical-field verification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migrated active records were automatically checked for Sample ID/legacy reference, material, batch, test, result, unit, status, specification/method version, source record, approval metadata and relationships. A business sample of 500 records was independently compared; no mismatch was found.</w:t>
      </w:r>
    </w:p>
    <w:p>
      <w:pPr>
        <w:pStyle w:val="Heading1"/>
      </w:pPr>
      <w:r>
        <w:t>4. Exceptions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Four cancelled duplicate spreadsheet rows were excluded under approved EXC-MIG-017 and retained in the source archive. No critical/high exception remained. Filename normalization followed MAP-2.3 and preserved original names.</w:t>
      </w:r>
    </w:p>
    <w:p>
      <w:pPr>
        <w:pStyle w:val="Heading1"/>
      </w:pPr>
      <w:r>
        <w:t>5. Acceptance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 Data Owner, Migration Lead, Records Management and QA accepted the production migration at 07:05 CST. Legacy LIMS remained read-only for verification/retirement.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QCL-2026-PDM-001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QCL-2026-PDM-001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Data Migration Execution and Reconciliation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