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Production Readiness Checklist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QCL-2026-PRC-001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Release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2027-06-15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QCL-2026-PRC-001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Release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2027-06-15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Production readiness checklist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58"/>
        <w:gridCol w:w="5418"/>
        <w:gridCol w:w="1184"/>
      </w:tblGrid>
      <w:tr>
        <w:trPr>
          <w:tblHeader w:val="true"/>
        </w:trPr>
        <w:tc>
          <w:tcPr>
            <w:tcW w:type="dxa" w:w="275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Readiness item</w:t>
            </w:r>
          </w:p>
        </w:tc>
        <w:tc>
          <w:tcPr>
            <w:tcW w:type="dxa" w:w="541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Evidence/criterion</w:t>
            </w:r>
          </w:p>
        </w:tc>
        <w:tc>
          <w:tcPr>
            <w:tcW w:type="dxa" w:w="118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</w:tr>
      <w:tr>
        <w:tc>
          <w:tcPr>
            <w:tcW w:type="dxa" w:w="27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VSR</w:t>
            </w:r>
          </w:p>
        </w:tc>
        <w:tc>
          <w:tcPr>
            <w:tcW w:type="dxa" w:w="54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QCL-2026-VSR-001 approved</w:t>
            </w:r>
          </w:p>
        </w:tc>
        <w:tc>
          <w:tcPr>
            <w:tcW w:type="dxa" w:w="11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</w:t>
            </w:r>
          </w:p>
        </w:tc>
      </w:tr>
      <w:tr>
        <w:tc>
          <w:tcPr>
            <w:tcW w:type="dxa" w:w="27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Final RTM</w:t>
            </w:r>
          </w:p>
        </w:tc>
        <w:tc>
          <w:tcPr>
            <w:tcW w:type="dxa" w:w="54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72/72 requirements pass</w:t>
            </w:r>
          </w:p>
        </w:tc>
        <w:tc>
          <w:tcPr>
            <w:tcW w:type="dxa" w:w="11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</w:t>
            </w:r>
          </w:p>
        </w:tc>
      </w:tr>
      <w:tr>
        <w:tc>
          <w:tcPr>
            <w:tcW w:type="dxa" w:w="27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Defects/deviations</w:t>
            </w:r>
          </w:p>
        </w:tc>
        <w:tc>
          <w:tcPr>
            <w:tcW w:type="dxa" w:w="54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 open Critical/High; all validation deviations closed</w:t>
            </w:r>
          </w:p>
        </w:tc>
        <w:tc>
          <w:tcPr>
            <w:tcW w:type="dxa" w:w="11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</w:t>
            </w:r>
          </w:p>
        </w:tc>
      </w:tr>
      <w:tr>
        <w:tc>
          <w:tcPr>
            <w:tcW w:type="dxa" w:w="27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Production migration</w:t>
            </w:r>
          </w:p>
        </w:tc>
        <w:tc>
          <w:tcPr>
            <w:tcW w:type="dxa" w:w="54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Counts/critical fields/attachments accepted</w:t>
            </w:r>
          </w:p>
        </w:tc>
        <w:tc>
          <w:tcPr>
            <w:tcW w:type="dxa" w:w="11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</w:t>
            </w:r>
          </w:p>
        </w:tc>
      </w:tr>
      <w:tr>
        <w:tc>
          <w:tcPr>
            <w:tcW w:type="dxa" w:w="27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SOPs effective</w:t>
            </w:r>
          </w:p>
        </w:tc>
        <w:tc>
          <w:tcPr>
            <w:tcW w:type="dxa" w:w="54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Documents 066–070 effective</w:t>
            </w:r>
          </w:p>
        </w:tc>
        <w:tc>
          <w:tcPr>
            <w:tcW w:type="dxa" w:w="11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</w:t>
            </w:r>
          </w:p>
        </w:tc>
      </w:tr>
      <w:tr>
        <w:tc>
          <w:tcPr>
            <w:tcW w:type="dxa" w:w="27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Training</w:t>
            </w:r>
          </w:p>
        </w:tc>
        <w:tc>
          <w:tcPr>
            <w:tcW w:type="dxa" w:w="54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97/97 required users complete</w:t>
            </w:r>
          </w:p>
        </w:tc>
        <w:tc>
          <w:tcPr>
            <w:tcW w:type="dxa" w:w="11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</w:t>
            </w:r>
          </w:p>
        </w:tc>
      </w:tr>
      <w:tr>
        <w:tc>
          <w:tcPr>
            <w:tcW w:type="dxa" w:w="27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Production baseline</w:t>
            </w:r>
          </w:p>
        </w:tc>
        <w:tc>
          <w:tcPr>
            <w:tcW w:type="dxa" w:w="54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Version/configuration/checksum verified</w:t>
            </w:r>
          </w:p>
        </w:tc>
        <w:tc>
          <w:tcPr>
            <w:tcW w:type="dxa" w:w="11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</w:t>
            </w:r>
          </w:p>
        </w:tc>
      </w:tr>
      <w:tr>
        <w:tc>
          <w:tcPr>
            <w:tcW w:type="dxa" w:w="27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Access</w:t>
            </w:r>
          </w:p>
        </w:tc>
        <w:tc>
          <w:tcPr>
            <w:tcW w:type="dxa" w:w="54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access requests approved; privileged roles independently checked</w:t>
            </w:r>
          </w:p>
        </w:tc>
        <w:tc>
          <w:tcPr>
            <w:tcW w:type="dxa" w:w="11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</w:t>
            </w:r>
          </w:p>
        </w:tc>
      </w:tr>
      <w:tr>
        <w:tc>
          <w:tcPr>
            <w:tcW w:type="dxa" w:w="27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Interfaces</w:t>
            </w:r>
          </w:p>
        </w:tc>
        <w:tc>
          <w:tcPr>
            <w:tcW w:type="dxa" w:w="54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SAP/eQMS/CDS/instruments smoke tests pass</w:t>
            </w:r>
          </w:p>
        </w:tc>
        <w:tc>
          <w:tcPr>
            <w:tcW w:type="dxa" w:w="11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</w:t>
            </w:r>
          </w:p>
        </w:tc>
      </w:tr>
      <w:tr>
        <w:tc>
          <w:tcPr>
            <w:tcW w:type="dxa" w:w="27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Backup/DR</w:t>
            </w:r>
          </w:p>
        </w:tc>
        <w:tc>
          <w:tcPr>
            <w:tcW w:type="dxa" w:w="54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production backup successful; tested recovery evidence available</w:t>
            </w:r>
          </w:p>
        </w:tc>
        <w:tc>
          <w:tcPr>
            <w:tcW w:type="dxa" w:w="11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</w:t>
            </w:r>
          </w:p>
        </w:tc>
      </w:tr>
      <w:tr>
        <w:tc>
          <w:tcPr>
            <w:tcW w:type="dxa" w:w="27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Support/hypercare</w:t>
            </w:r>
          </w:p>
        </w:tc>
        <w:tc>
          <w:tcPr>
            <w:tcW w:type="dxa" w:w="54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Roster, escalation and supplier contacts active</w:t>
            </w:r>
          </w:p>
        </w:tc>
        <w:tc>
          <w:tcPr>
            <w:tcW w:type="dxa" w:w="11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</w:t>
            </w:r>
          </w:p>
        </w:tc>
      </w:tr>
      <w:tr>
        <w:tc>
          <w:tcPr>
            <w:tcW w:type="dxa" w:w="27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Legacy continuity</w:t>
            </w:r>
          </w:p>
        </w:tc>
        <w:tc>
          <w:tcPr>
            <w:tcW w:type="dxa" w:w="54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Legacy LIMS read-only and archive/retirement plan active</w:t>
            </w:r>
          </w:p>
        </w:tc>
        <w:tc>
          <w:tcPr>
            <w:tcW w:type="dxa" w:w="11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</w:t>
            </w:r>
          </w:p>
        </w:tc>
      </w:tr>
      <w:tr>
        <w:tc>
          <w:tcPr>
            <w:tcW w:type="dxa" w:w="27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Open quality/system issues</w:t>
            </w:r>
          </w:p>
        </w:tc>
        <w:tc>
          <w:tcPr>
            <w:tcW w:type="dxa" w:w="54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None preventing release</w:t>
            </w:r>
          </w:p>
        </w:tc>
        <w:tc>
          <w:tcPr>
            <w:tcW w:type="dxa" w:w="11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</w:t>
            </w:r>
          </w:p>
        </w:tc>
      </w:tr>
    </w:tbl>
    <w:p>
      <w:pPr>
        <w:spacing w:after="80"/>
      </w:pPr>
    </w:p>
    <w:p>
      <w:pPr>
        <w:pStyle w:val="Heading1"/>
      </w:pPr>
      <w:r>
        <w:t>2. Open items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Two low-priority post-go-live enhancements were recorded outside release scope: optional dashboard colour preference and a non-GMP export shortcut. Neither affects intended use or control; both require normal change control if pursued.</w:t>
      </w:r>
    </w:p>
    <w:p>
      <w:pPr>
        <w:pStyle w:val="Heading1"/>
      </w:pPr>
      <w:r>
        <w:t>3. Readiness conclusion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All mandatory release criteria are complete. The System Owner recommends go-live; the BPO confirms business readiness; QA confirms no quality objection.</w:t>
      </w:r>
    </w:p>
    <w:p>
      <w:pPr>
        <w:pStyle w:val="Heading1"/>
      </w:pPr>
      <w:r>
        <w:t>4.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QCL-2026-TSR-001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[Test Summary Report](063_Test_Summary_Report.md)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QCL-2026-RTM-002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[Final Requirements Traceability Matrix](064_Final_Requirements_Traceability_Matrix.md)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Summary Report](065_Validation_Summary_Report.md)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SOP-QC-LIMS-001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User Operation SOP](066_User_Operation_SOP.md)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SOP-IT-LIMS-001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System Administration SOP](067_System_Administration_SOP.md)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SOP-QA-ATR-001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Audit Trail Review SOP](068_Audit_Trail_Review_SOP.md)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SOP-IT-LIMS-002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Operations, Maintenance, Backup, Incident, Change and Security SOP](069_Operations_Maintenance_Backup_Incident_Change_and_Security_SOP.md)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SOP-QA-ARC-001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Retention, Archiving and Record Retrieval SOP](070_Data_Retention_Archiving_and_Record_Retrieval_SOP.md)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QCL-2026-TRN-001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[Training Plan, Materials and Training Record](071_Training_Plan_Materials_and_Training_Record.md)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QCL-2026-CUT-001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[Cutover, Rollback and Contingency Plan](072_Cutover_Rollback_and_Contingency_Plan.md)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QCL-2026-PDM-001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[Production Data Migration Execution and Reconciliation Record](073_Production_Data_Migration_Execution_and_Reconciliation_Record.md)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QCL-2026-PBL-001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[Production Baseline and Approved Configuration Record](077_Production_Baseline_and_Approved_Configuration_Record.md)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QCL-2026-GLA-001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[Go-Live and Production Release Approval](075_Go_Live_and_Production_Release_Approval.md)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QCL-2026-HOV-001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[System Handover and Support Model](076_System_Handover_and_Support_Model.md)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Business Process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 Quality Head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2027-06-15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QCL-2026-PRC-001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QCL-2026-PRC-001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Production Readiness Checklist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