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Go-Live and Production Release Approval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Release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On 2027-06-15 at 08:20 CST, the Go-Live Board reviewed the readiness checklist, migration reconciliation, production smoke tests, baseline and open-item assessment.</w:t>
      </w:r>
    </w:p>
    <w:p>
      <w:pPr>
        <w:pStyle w:val="Heading1"/>
      </w:pPr>
      <w:r>
        <w:t>2. Decision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4"/>
        <w:gridCol w:w="6356"/>
      </w:tblGrid>
      <w:tr>
        <w:trPr>
          <w:tblHeader w:val="true"/>
        </w:trPr>
        <w:tc>
          <w:tcPr>
            <w:tcW w:type="dxa" w:w="30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Decision role</w:t>
            </w:r>
          </w:p>
        </w:tc>
        <w:tc>
          <w:tcPr>
            <w:tcW w:type="dxa" w:w="63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Decision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accepted for production use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 service, support and baseline ready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 conditions satisfied; no unacceptable residual GxP risk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Operations Manager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Monitoring, backup, security and incident support active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archive/retention controls active</w:t>
            </w:r>
          </w:p>
        </w:tc>
      </w:tr>
      <w:tr>
        <w:tc>
          <w:tcPr>
            <w:tcW w:type="dxa" w:w="30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 Sponsor</w:t>
            </w:r>
          </w:p>
        </w:tc>
        <w:tc>
          <w:tcPr>
            <w:tcW w:type="dxa" w:w="6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Authorises production start</w:t>
            </w:r>
          </w:p>
        </w:tc>
      </w:tr>
    </w:tbl>
    <w:p>
      <w:pPr>
        <w:spacing w:after="80"/>
      </w:pPr>
    </w:p>
    <w:p>
      <w:pPr>
        <w:pStyle w:val="Heading1"/>
      </w:pPr>
      <w:r>
        <w:t>3. Authorised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Production release covers the modules, interfaces, users, site and data described in the approved Scope Statement and Production Baseline. Deferred/global/mobile functionality is not authorised.</w:t>
      </w:r>
    </w:p>
    <w:p>
      <w:pPr>
        <w:pStyle w:val="Heading1"/>
      </w:pPr>
      <w:r>
        <w:t>4. Conditions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Legacy LIMS remains read-only until archive verification and retirement approval. Hypercare metrics are reviewed daily for four weeks. Any potential data-integrity, signature, audit-trail or migration issue is escalated immediately.</w:t>
      </w:r>
    </w:p>
    <w:p>
      <w:pPr>
        <w:pStyle w:val="Heading1"/>
      </w:pPr>
      <w:r>
        <w:t>5. Effective production time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User access and interfaces were enabled 2027-06-15 at 09:00 CST. First SAP sample request was accepted at 09:07 and completed without issue.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QCL-2026-GLA-001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QCL-2026-GLA-001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and Production Release Approval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