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595959"/>
          <w:sz w:val="19"/>
        </w:rPr>
        <w:t>GMP CSV Controlled Document</w:t>
      </w:r>
    </w:p>
    <w:p>
      <w:pPr>
        <w:spacing w:after="80"/>
      </w:pPr>
      <w:r>
        <w:rPr>
          <w:rFonts w:ascii="Calibri" w:hAnsi="Calibri"/>
          <w:b/>
          <w:color w:val="0B2545"/>
          <w:sz w:val="44"/>
        </w:rPr>
        <w:t>User Access Request and Approval Records</w:t>
      </w:r>
    </w:p>
    <w:p>
      <w:pPr>
        <w:spacing w:after="200"/>
      </w:pPr>
      <w:r>
        <w:rPr>
          <w:rFonts w:ascii="Calibri" w:hAnsi="Calibri"/>
          <w:color w:val="595959"/>
          <w:sz w:val="23"/>
        </w:rPr>
        <w:t>QCLabOne 2.0 QC Laboratory Digital Platform Replacement Project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Control Field</w:t>
            </w:r>
          </w:p>
        </w:tc>
        <w:tc>
          <w:tcPr>
            <w:tcW w:type="dxa" w:w="6660"/>
            <w:shd w:fill="D9EAF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number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System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Lifecycle phase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Effective/record date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Status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shd w:fill="F7F9FC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Calibri" w:hAnsi="Calibri"/>
                <w:b w:val="0"/>
                <w:color w:val="595959"/>
                <w:sz w:val="19"/>
              </w:rPr>
              <w:t>Use notice: This Markdown file is a fully populated fictional CSV training case. It is not an executed GMP record and does not replace company procedures, approved signatures, supplier evidence, or site-specific risk decisions.</w:t>
            </w:r>
          </w:p>
        </w:tc>
      </w:tr>
    </w:tbl>
    <w:p>
      <w:pPr>
        <w:spacing w:after="80"/>
      </w:pPr>
    </w:p>
    <w:p>
      <w:pPr>
        <w:pStyle w:val="Heading1"/>
      </w:pPr>
      <w:r>
        <w:t>Document control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586"/>
        <w:gridCol w:w="6774"/>
      </w:tblGrid>
      <w:tr>
        <w:trPr>
          <w:tblHeader w:val="true"/>
        </w:trPr>
        <w:tc>
          <w:tcPr>
            <w:tcW w:type="dxa" w:w="258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Field</w:t>
            </w:r>
          </w:p>
        </w:tc>
        <w:tc>
          <w:tcPr>
            <w:tcW w:type="dxa" w:w="677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Value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Document number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QCL-2027-UAR-001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Company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NovaSterile Pharma Co., Ltd.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Site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Suzhou Sterile Products Manufacturing Site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Project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QC Laboratory Digital Platform Replacement Project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QCLabOne 2.0 LIMS/LES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Lifecycle phase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Operation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Version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Effective/record date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</w:tr>
      <w:tr>
        <w:tc>
          <w:tcPr>
            <w:tcW w:type="dxa" w:w="258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Case status</w:t>
            </w:r>
          </w:p>
        </w:tc>
        <w:tc>
          <w:tcPr>
            <w:tcW w:type="dxa" w:w="677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Completed/Closed in fictional operating record</w:t>
            </w:r>
          </w:p>
        </w:tc>
      </w:tr>
    </w:tbl>
    <w:p>
      <w:pPr>
        <w:spacing w:after="80"/>
      </w:pPr>
    </w:p>
    <w:p>
      <w:pPr>
        <w:pStyle w:val="Heading1"/>
      </w:pPr>
      <w:r>
        <w:t>Governing references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Computerised Systems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China GMP (2010 Revision), Appendix: Qualification and Validation (effective 1 December 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11: Computerised Systems (2011)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EU GMP Annex 15: Qualification and Validation (2015)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21 CFR Part 11: Electronic Records; Electronic Signatures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FDA Guidance: Part 11, Electronic Records; Electronic Signatures — Scope and Application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PIC/S PI 041-1: Good Practices for Data Management and Integrity in Regulated GMP/GDP Environments (2021)</w:t>
      </w:r>
    </w:p>
    <w:p>
      <w:pPr>
        <w:pStyle w:val="ListBullet"/>
        <w:spacing w:after="80" w:line="300" w:lineRule="auto"/>
      </w:pPr>
      <w:r>
        <w:rPr>
          <w:rFonts w:ascii="Calibri" w:hAnsi="Calibri"/>
          <w:color w:val="000000"/>
          <w:sz w:val="22"/>
        </w:rPr>
        <w:t>ISPE GAMP 5, Second Edition (2022), used as non-binding industry guidance</w:t>
      </w:r>
    </w:p>
    <w:p>
      <w:pPr>
        <w:pStyle w:val="Heading1"/>
      </w:pPr>
      <w:r>
        <w:t>1. Purpose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This record demonstrates the approved user-access process used at go-live and during the first operating quarter. User IDs are fictional training identifiers.</w:t>
      </w:r>
    </w:p>
    <w:p>
      <w:pPr>
        <w:pStyle w:val="Heading1"/>
      </w:pPr>
      <w:r>
        <w:t>2. Access records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866"/>
        <w:gridCol w:w="720"/>
        <w:gridCol w:w="866"/>
        <w:gridCol w:w="866"/>
        <w:gridCol w:w="1993"/>
        <w:gridCol w:w="1646"/>
        <w:gridCol w:w="1300"/>
        <w:gridCol w:w="1103"/>
      </w:tblGrid>
      <w:tr>
        <w:trPr>
          <w:tblHeader w:val="true"/>
        </w:trPr>
        <w:tc>
          <w:tcPr>
            <w:tcW w:type="dxa" w:w="86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Request ID</w:t>
            </w:r>
          </w:p>
        </w:tc>
        <w:tc>
          <w:tcPr>
            <w:tcW w:type="dxa" w:w="72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User ID</w:t>
            </w:r>
          </w:p>
        </w:tc>
        <w:tc>
          <w:tcPr>
            <w:tcW w:type="dxa" w:w="86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Role</w:t>
            </w:r>
          </w:p>
        </w:tc>
        <w:tc>
          <w:tcPr>
            <w:tcW w:type="dxa" w:w="86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Department</w:t>
            </w:r>
          </w:p>
        </w:tc>
        <w:tc>
          <w:tcPr>
            <w:tcW w:type="dxa" w:w="199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Request/activation date</w:t>
            </w:r>
          </w:p>
        </w:tc>
        <w:tc>
          <w:tcPr>
            <w:tcW w:type="dxa" w:w="1646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Approval</w:t>
            </w:r>
          </w:p>
        </w:tc>
        <w:tc>
          <w:tcPr>
            <w:tcW w:type="dxa" w:w="130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Execution/check</w:t>
            </w:r>
          </w:p>
        </w:tc>
        <w:tc>
          <w:tcPr>
            <w:tcW w:type="dxa" w:w="1103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5"/>
              </w:rPr>
              <w:t>Current status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QC-ANL-001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Analyst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Chemistry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2027-06-10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BPO + manager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A / checker B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QC-ANL-002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Analyst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Microbiology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2027-06-10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BPO + manager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A / checker B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UAR-0003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QC-REV-001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Reviewer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Chemistry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2027-06-10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BPO + manager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B / checker A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UAR-0004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QC-SUP-001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 Supervisor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2027-06-10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BPO + QA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A / checker B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UAR-0005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QA-REV-001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QA Reviewer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QA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2027-06-10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QA Head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B / checker A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UAR-0006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MD-STW-001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Master Data Steward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2027-06-10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BPO + QA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A / checker B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UAR-0007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SYS-ADM-001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Administrator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2027-06-09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 + QA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Privileged Admin / checker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UAR-0008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IT-SUP-001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Support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2027-06-09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Manager + System Owner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Privileged Admin / checker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UAR-0009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VND-SUP-001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Vendor Support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Supplier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2027-06-14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System Owner + QA; disabled by default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Just-in-time group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Disabled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UAR-0010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AUD-RO-001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Auditor Read-Only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QA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2027-09-04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QA Head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A / checker B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Disabled after mock audit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UAR-0011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QC-ANL-017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Analyst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Chemistry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2027-08-01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BPO + manager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B / checker A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  <w:tr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UAR-0012</w:t>
            </w:r>
          </w:p>
        </w:tc>
        <w:tc>
          <w:tcPr>
            <w:tcW w:type="dxa" w:w="7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QC-REV-004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Reviewer</w:t>
            </w:r>
          </w:p>
        </w:tc>
        <w:tc>
          <w:tcPr>
            <w:tcW w:type="dxa" w:w="86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Stability</w:t>
            </w:r>
          </w:p>
        </w:tc>
        <w:tc>
          <w:tcPr>
            <w:tcW w:type="dxa" w:w="199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2027-08-15</w:t>
            </w:r>
          </w:p>
        </w:tc>
        <w:tc>
          <w:tcPr>
            <w:tcW w:type="dxa" w:w="1646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BPO + manager</w:t>
            </w:r>
          </w:p>
        </w:tc>
        <w:tc>
          <w:tcPr>
            <w:tcW w:type="dxa" w:w="13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IT Admin A / checker B</w:t>
            </w:r>
          </w:p>
        </w:tc>
        <w:tc>
          <w:tcPr>
            <w:tcW w:type="dxa" w:w="1103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5"/>
              </w:rPr>
              <w:t>Active</w:t>
            </w:r>
          </w:p>
        </w:tc>
      </w:tr>
    </w:tbl>
    <w:p>
      <w:pPr>
        <w:spacing w:after="80"/>
      </w:pPr>
    </w:p>
    <w:p>
      <w:pPr>
        <w:pStyle w:val="Heading1"/>
      </w:pPr>
      <w:r>
        <w:t>3. Population summary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At go-live, 97 trained users were enabled: 42 Analysts, 16 Reviewers, 8 QC Supervisors, 6 QA Reviewers, 5 Master Data Stewards, 4 System Administrators and 16 supporting/read-only roles. Additional users followed the same request process.</w:t>
      </w:r>
    </w:p>
    <w:p>
      <w:pPr>
        <w:pStyle w:val="Heading1"/>
      </w:pPr>
      <w:r>
        <w:t>4. Control checks</w:t>
      </w:r>
    </w:p>
    <w:p>
      <w:pPr>
        <w:spacing w:after="120" w:line="300" w:lineRule="auto"/>
      </w:pPr>
      <w:r>
        <w:rPr>
          <w:rFonts w:ascii="Calibri" w:hAnsi="Calibri"/>
          <w:b w:val="0"/>
          <w:i w:val="0"/>
          <w:color w:val="000000"/>
          <w:sz w:val="22"/>
        </w:rPr>
        <w:t>Each request included business need, exact role, manager/BPO approval, training completion and expiry/temporary dates where applicable. Privileged roles had QA/System Owner approval and second-person provisioning verification. Vendor accounts remained disabled except during approved sessions.</w:t>
      </w:r>
    </w:p>
    <w:p>
      <w:pPr>
        <w:pStyle w:val="Heading1"/>
      </w:pPr>
      <w:r>
        <w:t>5. Related documents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224"/>
        <w:gridCol w:w="2038"/>
        <w:gridCol w:w="5098"/>
      </w:tblGrid>
      <w:tr>
        <w:trPr>
          <w:tblHeader w:val="true"/>
        </w:trPr>
        <w:tc>
          <w:tcPr>
            <w:tcW w:type="dxa" w:w="2224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Relationship</w:t>
            </w:r>
          </w:p>
        </w:tc>
        <w:tc>
          <w:tcPr>
            <w:tcW w:type="dxa" w:w="2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 ID</w:t>
            </w:r>
          </w:p>
        </w:tc>
        <w:tc>
          <w:tcPr>
            <w:tcW w:type="dxa" w:w="509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Document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QCL-2026-RAC-001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[Role and Access Control Matrix](031_Role_and_Access_Control_Matrix.md)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QCL-2026-SEC-001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[Security, Access and Segregation of Duties Test Report](053_Security_Access_and_Segregation_of_Duties_Test.md)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SOP-QC-LIMS-001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User Operation SOP](066_User_Operation_SOP.md)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SOP-IT-LIMS-001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[QCLabOne 2.0 System Administration SOP](067_System_Administration_SOP.md)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QCL-2026-TRN-001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[Training Plan, Materials and Training Record](071_Training_Plan_Materials_and_Training_Record.md)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QCL-2026-GLA-001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[Go-Live and Production Release Approval](075_Go_Live_and_Production_Release_Approval.md)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QCL-2027-UAR-002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[Periodic User Access Review Report](079_Periodic_User_Access_Review_Report.md)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QCL-2027-SOD-001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[Segregation of Duties and Privileged Access Review](080_Segregation_of_Duties_and_Privileged_Access_Review.md)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QCL-2027-ODV-004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[Operational Deviation and CAPA Record](087_Operational_Deviation_and_CAPA_Record.md)</w:t>
            </w:r>
          </w:p>
        </w:tc>
      </w:tr>
      <w:tr>
        <w:tc>
          <w:tcPr>
            <w:tcW w:type="dxa" w:w="2224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Output</w:t>
            </w:r>
          </w:p>
        </w:tc>
        <w:tc>
          <w:tcPr>
            <w:tcW w:type="dxa" w:w="2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QCL-2028-PRR-001</w:t>
            </w:r>
          </w:p>
        </w:tc>
        <w:tc>
          <w:tcPr>
            <w:tcW w:type="dxa" w:w="509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[Annual Periodic Review Report](092_Annual_Periodic_Review_Report.md)</w:t>
            </w:r>
          </w:p>
        </w:tc>
      </w:tr>
    </w:tbl>
    <w:p>
      <w:pPr>
        <w:spacing w:after="80"/>
      </w:pPr>
    </w:p>
    <w:p>
      <w:pPr>
        <w:pStyle w:val="Heading1"/>
      </w:pPr>
      <w:r>
        <w:t>Approval record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3160"/>
        <w:gridCol w:w="3038"/>
        <w:gridCol w:w="3162"/>
      </w:tblGrid>
      <w:tr>
        <w:trPr>
          <w:tblHeader w:val="true"/>
        </w:trPr>
        <w:tc>
          <w:tcPr>
            <w:tcW w:type="dxa" w:w="3160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Approval step</w:t>
            </w:r>
          </w:p>
        </w:tc>
        <w:tc>
          <w:tcPr>
            <w:tcW w:type="dxa" w:w="3038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Role</w:t>
            </w:r>
          </w:p>
        </w:tc>
        <w:tc>
          <w:tcPr>
            <w:tcW w:type="dxa" w:w="31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Case outcome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Prepared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System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Reviewed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QC Business Process Owner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Completed</w:t>
            </w:r>
          </w:p>
        </w:tc>
      </w:tr>
      <w:tr>
        <w:tc>
          <w:tcPr>
            <w:tcW w:type="dxa" w:w="31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by</w:t>
            </w:r>
          </w:p>
        </w:tc>
        <w:tc>
          <w:tcPr>
            <w:tcW w:type="dxa" w:w="3038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QA System Oversight</w:t>
            </w:r>
          </w:p>
        </w:tc>
        <w:tc>
          <w:tcPr>
            <w:tcW w:type="dxa" w:w="31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Approved in fictional case</w:t>
            </w:r>
          </w:p>
        </w:tc>
      </w:tr>
    </w:tbl>
    <w:p>
      <w:pPr>
        <w:spacing w:after="80"/>
      </w:pPr>
    </w:p>
    <w:p>
      <w:pPr>
        <w:pStyle w:val="Heading1"/>
      </w:pPr>
      <w:r>
        <w:t>Revision history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47"/>
        <w:gridCol w:w="1462"/>
        <w:gridCol w:w="5851"/>
      </w:tblGrid>
      <w:tr>
        <w:trPr>
          <w:tblHeader w:val="true"/>
        </w:trPr>
        <w:tc>
          <w:tcPr>
            <w:tcW w:type="dxa" w:w="2047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Version</w:t>
            </w:r>
          </w:p>
        </w:tc>
        <w:tc>
          <w:tcPr>
            <w:tcW w:type="dxa" w:w="1462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Date</w:t>
            </w:r>
          </w:p>
        </w:tc>
        <w:tc>
          <w:tcPr>
            <w:tcW w:type="dxa" w:w="5851"/>
            <w:shd w:fill="E8EEF5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/>
                <w:color w:val="000000"/>
                <w:sz w:val="19"/>
              </w:rPr>
              <w:t>Change</w:t>
            </w:r>
          </w:p>
        </w:tc>
      </w:tr>
      <w:tr>
        <w:tc>
          <w:tcPr>
            <w:tcW w:type="dxa" w:w="2047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1.0</w:t>
            </w:r>
          </w:p>
        </w:tc>
        <w:tc>
          <w:tcPr>
            <w:tcW w:type="dxa" w:w="1462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2027-09-30</w:t>
            </w:r>
          </w:p>
        </w:tc>
        <w:tc>
          <w:tcPr>
            <w:tcW w:type="dxa" w:w="5851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spacing w:after="0" w:line="276" w:lineRule="auto"/>
              <w:jc w:val="left"/>
            </w:pPr>
            <w:r/>
            <w:r>
              <w:rPr>
                <w:rFonts w:ascii="Calibri" w:hAnsi="Calibri"/>
                <w:b w:val="0"/>
                <w:color w:val="000000"/>
                <w:sz w:val="19"/>
              </w:rPr>
              <w:t>Initial approved fictional case version.</w:t>
            </w:r>
          </w:p>
        </w:tc>
      </w:tr>
    </w:tbl>
    <w:p>
      <w:pPr>
        <w:spacing w:after="8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/>
        <w:color w:val="595959"/>
        <w:sz w:val="17"/>
      </w:rPr>
      <w:t xml:space="preserve">QCL-2027-UAR-001 | Version 1.0 | Completed/Closed in fictional operating record | Page </w:t>
    </w:r>
    <w:r>
      <w:fldChar w:fldCharType="begin"/>
    </w:r>
    <w:r>
      <w:instrText xml:space="preserve"> PAGE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  <w:r>
      <w:rPr>
        <w:rFonts w:ascii="Calibri" w:hAnsi="Calibri"/>
        <w:color w:val="595959"/>
        <w:sz w:val="17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Calibri" w:hAnsi="Calibri"/>
        <w:color w:val="595959"/>
        <w:sz w:val="18"/>
      </w:rPr>
      <w:t>1</w:t>
    </w:r>
    <w: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Calibri" w:hAnsi="Calibri"/>
        <w:b/>
        <w:color w:val="595959"/>
        <w:sz w:val="17"/>
      </w:rPr>
      <w:t>QCL-2026 | QCLabOne 2.0 LIMS/LES</w:t>
    </w:r>
    <w:r>
      <w:tab/>
    </w:r>
    <w:r>
      <w:rPr>
        <w:rFonts w:ascii="Calibri" w:hAnsi="Calibri"/>
        <w:color w:val="595959"/>
        <w:sz w:val="17"/>
      </w:rPr>
      <w:t>QCL-2027-UAR-001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30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 w:line="30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 w:line="30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User Access Request and Approval Records</dc:title>
  <dc:subject>GMP CSV controlled-document conversion</dc:subject>
  <dc:creator>CSV108 Markdown DOCX Converter</dc:creator>
  <cp:keywords>CSV, GMP, validation, DOCX, controlled document</cp:keywords>
  <dc:description>Converted from CSV108 Markdown source. Requires site-specific QA review before operational use.</dc:description>
  <cp:lastModifiedBy>CSV108 Markdown DOCX Converter</cp:lastModifiedBy>
  <cp:revision>1</cp:revision>
  <dcterms:created xsi:type="dcterms:W3CDTF">2026-06-19T09:00:00Z</dcterms:created>
  <dcterms:modified xsi:type="dcterms:W3CDTF">2026-06-19T09:00:00Z</dcterms:modified>
  <cp:category>GMP CSV</cp:category>
</cp:coreProperties>
</file>