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Periodic User Access Review Report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Review period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2027-06-15 through 2027-09-30. The review compared QCLabOne users/roles with HR status, department ownership, training, approved requests and privileged-access records.</w:t>
      </w:r>
    </w:p>
    <w:p>
      <w:pPr>
        <w:pStyle w:val="Heading1"/>
      </w:pPr>
      <w:r>
        <w:t>2. Review summary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858"/>
        <w:gridCol w:w="4722"/>
        <w:gridCol w:w="154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Population</w:t>
            </w:r>
          </w:p>
        </w:tc>
        <w:tc>
          <w:tcPr>
            <w:tcW w:type="dxa" w:w="85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Count</w:t>
            </w:r>
          </w:p>
        </w:tc>
        <w:tc>
          <w:tcPr>
            <w:tcW w:type="dxa" w:w="472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Review result</w:t>
            </w:r>
          </w:p>
        </w:tc>
        <w:tc>
          <w:tcPr>
            <w:tcW w:type="dxa" w:w="154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Exception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Active named users</w:t>
            </w:r>
          </w:p>
        </w:tc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102</w:t>
            </w:r>
          </w:p>
        </w:tc>
        <w:tc>
          <w:tcPr>
            <w:tcW w:type="dxa" w:w="4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102 matched HR/department/training</w:t>
            </w:r>
          </w:p>
        </w:tc>
        <w:tc>
          <w:tcPr>
            <w:tcW w:type="dxa" w:w="1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Disabled/terminated users</w:t>
            </w:r>
          </w:p>
        </w:tc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4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7 disabled within required time</w:t>
            </w:r>
          </w:p>
        </w:tc>
        <w:tc>
          <w:tcPr>
            <w:tcW w:type="dxa" w:w="1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Privileged users</w:t>
            </w:r>
          </w:p>
        </w:tc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4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6 justified and independently approved</w:t>
            </w:r>
          </w:p>
        </w:tc>
        <w:tc>
          <w:tcPr>
            <w:tcW w:type="dxa" w:w="1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Vendor accounts</w:t>
            </w:r>
          </w:p>
        </w:tc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4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All disabled except approved session windows</w:t>
            </w:r>
          </w:p>
        </w:tc>
        <w:tc>
          <w:tcPr>
            <w:tcW w:type="dxa" w:w="1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Service accounts</w:t>
            </w:r>
          </w:p>
        </w:tc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4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Owners current; non-interactive; secrets within rotation</w:t>
            </w:r>
          </w:p>
        </w:tc>
        <w:tc>
          <w:tcPr>
            <w:tcW w:type="dxa" w:w="1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Break-glass accounts</w:t>
            </w:r>
          </w:p>
        </w:tc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4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Sealed; no use; quarterly test documented</w:t>
            </w:r>
          </w:p>
        </w:tc>
        <w:tc>
          <w:tcPr>
            <w:tcW w:type="dxa" w:w="1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0</w:t>
            </w:r>
          </w:p>
        </w:tc>
      </w:tr>
      <w:tr>
        <w:tc>
          <w:tcPr>
            <w:tcW w:type="dxa" w:w="223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Role changes since go-live</w:t>
            </w:r>
          </w:p>
        </w:tc>
        <w:tc>
          <w:tcPr>
            <w:tcW w:type="dxa" w:w="85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11</w:t>
            </w:r>
          </w:p>
        </w:tc>
        <w:tc>
          <w:tcPr>
            <w:tcW w:type="dxa" w:w="47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10 correct; 1 deviation ODV-004 addressed</w:t>
            </w:r>
          </w:p>
        </w:tc>
        <w:tc>
          <w:tcPr>
            <w:tcW w:type="dxa" w:w="154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 closed</w:t>
            </w:r>
          </w:p>
        </w:tc>
      </w:tr>
    </w:tbl>
    <w:p>
      <w:pPr>
        <w:spacing w:after="80"/>
      </w:pPr>
    </w:p>
    <w:p>
      <w:pPr>
        <w:pStyle w:val="Heading1"/>
      </w:pPr>
      <w:r>
        <w:t>3. Actions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The ODV-004 role-assignment deviation was already contained and closed. Two users due to transfer on 2027-10-01 were scheduled for role change before effective transfer. No orphan, shared or unjustified standing vendor account was identified.</w:t>
      </w:r>
    </w:p>
    <w:p>
      <w:pPr>
        <w:pStyle w:val="Heading1"/>
      </w:pPr>
      <w:r>
        <w:t>4. Conclusion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Access remains appropriate and current. Next all-user review is due 2027-12-31; privileged-account review remains monthly.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[User Access Request and Approval Records](078_User_Access_Request_and_Approval_Records.md)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QCL-2027-UAR-002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QCL-2027-UAR-002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Periodic User Access Review Report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