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Integrity Monitoring and Trend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Reporting period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Go-live 2027-06-15 through 2027-09-30.</w:t>
      </w:r>
    </w:p>
    <w:p>
      <w:pPr>
        <w:pStyle w:val="Heading1"/>
      </w:pPr>
      <w:r>
        <w:t>2. Data-integrity indicators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2"/>
        <w:gridCol w:w="1134"/>
        <w:gridCol w:w="3687"/>
        <w:gridCol w:w="1207"/>
      </w:tblGrid>
      <w:tr>
        <w:trPr>
          <w:tblHeader w:val="true"/>
        </w:trPr>
        <w:tc>
          <w:tcPr>
            <w:tcW w:type="dxa" w:w="33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Indicator</w:t>
            </w:r>
          </w:p>
        </w:tc>
        <w:tc>
          <w:tcPr>
            <w:tcW w:type="dxa" w:w="113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Observed</w:t>
            </w:r>
          </w:p>
        </w:tc>
        <w:tc>
          <w:tcPr>
            <w:tcW w:type="dxa" w:w="368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Assessment</w:t>
            </w:r>
          </w:p>
        </w:tc>
        <w:tc>
          <w:tcPr>
            <w:tcW w:type="dxa" w:w="120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Trend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critical-result entries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318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0.9% of critical results; all independently verified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Stable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Post-signature corrections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27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invalidated/re-reviewed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adverse trend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with missing reason for critical change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Unexplained audit-trail events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unreconciled messages at month-end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failures not recovered within same day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cases without valid eQMS link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 of break-glass account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sessions without approved ticket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Target 0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Meets</w:t>
            </w:r>
          </w:p>
        </w:tc>
      </w:tr>
      <w:tr>
        <w:tc>
          <w:tcPr>
            <w:tcW w:type="dxa" w:w="33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Late data entry &gt;24 h without documented reason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Both outage forms reconciled/approved</w:t>
            </w:r>
          </w:p>
        </w:tc>
        <w:tc>
          <w:tcPr>
            <w:tcW w:type="dxa" w:w="1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systemic trend</w:t>
            </w:r>
          </w:p>
        </w:tc>
      </w:tr>
    </w:tbl>
    <w:p>
      <w:pPr>
        <w:spacing w:after="80"/>
      </w:pPr>
    </w:p>
    <w:p>
      <w:pPr>
        <w:pStyle w:val="Heading1"/>
      </w:pPr>
      <w:r>
        <w:t>3. Qualitative review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evidence of shared credentials, backdating, discarded data, uncontrolled calculation, hidden repeat testing, missing OOS linkage or audit-trail suppression was identified. Two delayed entries were associated with approved outage forms and reconciled within one day.</w:t>
      </w:r>
    </w:p>
    <w:p>
      <w:pPr>
        <w:pStyle w:val="Heading1"/>
      </w:pPr>
      <w:r>
        <w:t>4. Actions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Maintain targeted training on meaningful correction reasons; retain monthly privileged-access review; add role-assignment automated conflict alert following ODV-004; continue certificate-expiry monitoring improvement after INC-2027-014.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system and associated procedures support ALCOA+ principles. Residual data-integrity risk remains acceptable.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QCL-2027-DIM-001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QCL-2027-DIM-001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Integrity Monitoring and Trend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