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Patch and Upgrade Impact Assessment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QCL-2027-PAT-003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QCL-2027-PAT-003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Assessment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Patch: LabSphere LIMS/LES 8.4.3 Assessment date: 2027-11-15 Supplier release date: 2027-11-08</w:t>
      </w:r>
    </w:p>
    <w:p>
      <w:pPr>
        <w:pStyle w:val="Heading1"/>
      </w:pPr>
      <w:r>
        <w:t>2. Release impact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62"/>
        <w:gridCol w:w="4021"/>
        <w:gridCol w:w="3877"/>
      </w:tblGrid>
      <w:tr>
        <w:trPr>
          <w:tblHeader w:val="true"/>
        </w:trPr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Area</w:t>
            </w:r>
          </w:p>
        </w:tc>
        <w:tc>
          <w:tcPr>
            <w:tcW w:type="dxa" w:w="402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Supplier information</w:t>
            </w:r>
          </w:p>
        </w:tc>
        <w:tc>
          <w:tcPr>
            <w:tcW w:type="dxa" w:w="387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Project decision</w:t>
            </w:r>
          </w:p>
        </w:tc>
      </w:tr>
      <w:tr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</w:t>
            </w:r>
          </w:p>
        </w:tc>
        <w:tc>
          <w:tcPr>
            <w:tcW w:type="dxa" w:w="40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LabSphere 8.4.3</w:t>
            </w:r>
          </w:p>
        </w:tc>
        <w:tc>
          <w:tcPr>
            <w:tcW w:type="dxa" w:w="3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Cumulative security/maintenance release</w:t>
            </w:r>
          </w:p>
        </w:tc>
      </w:tr>
      <w:tr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Security fixes</w:t>
            </w:r>
          </w:p>
        </w:tc>
        <w:tc>
          <w:tcPr>
            <w:tcW w:type="dxa" w:w="40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Two high vendor-rated dependency vulnerabilities; no known exploitation</w:t>
            </w:r>
          </w:p>
        </w:tc>
        <w:tc>
          <w:tcPr>
            <w:tcW w:type="dxa" w:w="3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Patch required within 30 days</w:t>
            </w:r>
          </w:p>
        </w:tc>
      </w:tr>
      <w:tr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Functional changes</w:t>
            </w:r>
          </w:p>
        </w:tc>
        <w:tc>
          <w:tcPr>
            <w:tcW w:type="dxa" w:w="40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Updated PDF engine, SAML library, audit export performance; no schema change</w:t>
            </w:r>
          </w:p>
        </w:tc>
        <w:tc>
          <w:tcPr>
            <w:tcW w:type="dxa" w:w="3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Regression required for reports, SSO and audit export</w:t>
            </w:r>
          </w:p>
        </w:tc>
      </w:tr>
      <w:tr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Database migration</w:t>
            </w:r>
          </w:p>
        </w:tc>
        <w:tc>
          <w:tcPr>
            <w:tcW w:type="dxa" w:w="40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3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Low implementation complexity</w:t>
            </w:r>
          </w:p>
        </w:tc>
      </w:tr>
      <w:tr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Configuration impact</w:t>
            </w:r>
          </w:p>
        </w:tc>
        <w:tc>
          <w:tcPr>
            <w:tcW w:type="dxa" w:w="40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intended site configuration change</w:t>
            </w:r>
          </w:p>
        </w:tc>
        <w:tc>
          <w:tcPr>
            <w:tcW w:type="dxa" w:w="3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Baseline version update only</w:t>
            </w:r>
          </w:p>
        </w:tc>
      </w:tr>
      <w:tr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Downtime</w:t>
            </w:r>
          </w:p>
        </w:tc>
        <w:tc>
          <w:tcPr>
            <w:tcW w:type="dxa" w:w="40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60-minute maintenance window</w:t>
            </w:r>
          </w:p>
        </w:tc>
        <w:tc>
          <w:tcPr>
            <w:tcW w:type="dxa" w:w="3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BCP notification only; no manual process expected</w:t>
            </w:r>
          </w:p>
        </w:tc>
      </w:tr>
      <w:tr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Rollback</w:t>
            </w:r>
          </w:p>
        </w:tc>
        <w:tc>
          <w:tcPr>
            <w:tcW w:type="dxa" w:w="40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snapshot and application rollback to 8.4.2-HF1</w:t>
            </w:r>
          </w:p>
        </w:tc>
        <w:tc>
          <w:tcPr>
            <w:tcW w:type="dxa" w:w="38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Tested in validation environment</w:t>
            </w:r>
          </w:p>
        </w:tc>
      </w:tr>
    </w:tbl>
    <w:p>
      <w:pPr>
        <w:spacing w:after="80"/>
      </w:pPr>
    </w:p>
    <w:p>
      <w:pPr>
        <w:pStyle w:val="Heading1"/>
      </w:pPr>
      <w:r>
        <w:t>3. Risk decision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high-rated dependency vulnerabilities create a greater risk if the release is deferred. No data model or calculation change is present. Proceed under change control with focused regression on installation/version, SSO, role access, audit export, e-signature, controlled reports, interfaces and critical PQ smoke scenarios.</w:t>
      </w:r>
    </w:p>
    <w:p>
      <w:pPr>
        <w:pStyle w:val="Heading1"/>
      </w:pPr>
      <w:r>
        <w:t>4. Evidence leveraged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Supplier release qualification summary, software bill of materials, vulnerability remediation statement, automated regression summary and rollback procedure were assessed and accepted.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QCL-2026-QTA-001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[Quality/Technical Agreement and Service Level Agreement](020_Quality_Technical_Agreement_and_SLA.md)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Documentation Leveraging Assessment](021_Supplier_Documentation_Leveraging_Assessment.md)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QCL-2026-CIR-001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Item and Version Register](041_Configuration_Item_and_Version_Register.md)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Operations, Maintenance, Backup, Incident, Change and Security SOP](069_Operations_Maintenance_Backup_Incident_Change_and_Security_SOP.md)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QCL-2026-PBL-001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Baseline and Approved Configuration Record](077_Production_Baseline_and_Approved_Configuration_Record.md)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QCL-2028-CVM-001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Vulnerability and Monitoring Report](094_Cybersecurity_Vulnerability_and_Monitoring_Report.md)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QCL-2027-REG-003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[Regression Test Plan and Report](090_Regression_Test_Plan_and_Report.md)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QCL-2027-CHG-021-C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Implementation Verification and Closure](091_Change_Implementation_Verification_and_Closure.md)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QCL-2028-SPR-001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Periodic Performance and SLA Review](096_Supplier_Periodic_Performance_and_SLA_Review.md)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QCL-2027-PAT-003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QCL-2027-PAT-003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Patch and Upgrade Impact Assessment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