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Revalidation Assessment and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QCL-2028-RVA-001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QCL-2028-RVA-001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Trigger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Annual periodic review and cumulative changes through 2028-02-29.</w:t>
      </w:r>
    </w:p>
    <w:p>
      <w:pPr>
        <w:pStyle w:val="Heading1"/>
      </w:pPr>
      <w:r>
        <w:t>2. Assessment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18"/>
        <w:gridCol w:w="1422"/>
        <w:gridCol w:w="4120"/>
      </w:tblGrid>
      <w:tr>
        <w:trPr>
          <w:tblHeader w:val="true"/>
        </w:trPr>
        <w:tc>
          <w:tcPr>
            <w:tcW w:type="dxa" w:w="381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Question</w:t>
            </w:r>
          </w:p>
        </w:tc>
        <w:tc>
          <w:tcPr>
            <w:tcW w:type="dxa" w:w="14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Answer</w:t>
            </w:r>
          </w:p>
        </w:tc>
        <w:tc>
          <w:tcPr>
            <w:tcW w:type="dxa" w:w="41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Rationale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Has intended use changed?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Same site, modules, processes and record boundaries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Has architecture materially changed?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Patch and monitoring change only; no data model/platform redesign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Have critical configuration/calculations changed?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Configuration checksum retained; no formula/limit logic change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Were significant incidents or DI failures observed?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unresolved issue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Certificate and access events closed without data/product impact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Did supplier/QMS status deteriorate?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Annual supplier review acceptable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Are URS/risk/test records current?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Periodic review confirms traceability and controls</w:t>
            </w:r>
          </w:p>
        </w:tc>
      </w:tr>
      <w:tr>
        <w:tc>
          <w:tcPr>
            <w:tcW w:type="dxa" w:w="38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Is full revalidation necessary?</w:t>
            </w:r>
          </w:p>
        </w:tc>
        <w:tc>
          <w:tcPr>
            <w:tcW w:type="dxa" w:w="1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4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Focused regression and operational evidence are adequate</w:t>
            </w:r>
          </w:p>
        </w:tc>
      </w:tr>
    </w:tbl>
    <w:p>
      <w:pPr>
        <w:spacing w:after="80"/>
      </w:pPr>
    </w:p>
    <w:p>
      <w:pPr>
        <w:pStyle w:val="Heading1"/>
      </w:pPr>
      <w:r>
        <w:t>3. Revalidation decision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Full revalidation is not required. The system remains validated based on approved baseline, passing focused regression, operational monitoring, access/audit reviews, restore/DR and supplier oversight.</w:t>
      </w:r>
    </w:p>
    <w:p>
      <w:pPr>
        <w:pStyle w:val="Heading1"/>
      </w:pPr>
      <w:r>
        <w:t>4. Future triggers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New module/business process; major platform/data-model change; migration of another site; material calculation/approval redesign; confirmed data-integrity failure; prolonged loss; supplier/hosting change; repeated ineffective control.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QCL-2028-RVA-001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QCL-2028-RVA-001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Revalidation Assessment and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