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Cybersecurity Vulnerability and Monitoring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period and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Security review from 2027-06-15 through 2028-02-29 covering cloud service, gateway, identity, interfaces, privileged/vendor access, vulnerabilities, malware, certificates and backup protection.</w:t>
      </w:r>
    </w:p>
    <w:p>
      <w:pPr>
        <w:pStyle w:val="Heading1"/>
      </w:pPr>
      <w:r>
        <w:t>2. Security metrics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24"/>
        <w:gridCol w:w="4286"/>
        <w:gridCol w:w="1750"/>
      </w:tblGrid>
      <w:tr>
        <w:trPr>
          <w:tblHeader w:val="true"/>
        </w:trPr>
        <w:tc>
          <w:tcPr>
            <w:tcW w:type="dxa" w:w="33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42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Observed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Assessment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vulnerabilities open &gt;15 days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High vulnerabilities open &gt;30 days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OS patch compliance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within policy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release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8.4.3; supplier security fixes applied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Current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Malware/EDR alerts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 benign administrative-tool alerts; investigated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compromise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Failed login anomalies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credential-stuffing or unusual source pattern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Acceptable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sessions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14 during review year; all ticketed and reviewed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Certificate inventory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14/14 monitored with 60/30/7 alerts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 after CAPA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Penetration-test findings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Critical, 0 High, 3 Medium; supplier closed 3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immutability test</w:t>
            </w:r>
          </w:p>
        </w:tc>
        <w:tc>
          <w:tcPr>
            <w:tcW w:type="dxa" w:w="4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</w:tbl>
    <w:p>
      <w:pPr>
        <w:spacing w:after="80"/>
      </w:pPr>
    </w:p>
    <w:p>
      <w:pPr>
        <w:pStyle w:val="Heading1"/>
      </w:pPr>
      <w:r>
        <w:t>3. Significant items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INC-2027-014 exposed a monitoring-process gap, not a security breach. CHG-2027-021 corrected certificate inventory/alerts. ODV-004 was an access provisioning error; no privileged activity occurred. No confirmed unauthorised access or data exfiltration occurred.</w:t>
      </w:r>
    </w:p>
    <w:p>
      <w:pPr>
        <w:pStyle w:val="Heading1"/>
      </w:pPr>
      <w:r>
        <w:t>4. Privacy review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new personal data category or cross-border processing was introduced. User activity data was accessed only for approved operations, quality, security or investigation purposes.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Cybersecurity residual risk is Medium/acceptable for the high GxP system. Continue monthly vulnerability review, vendor-session review and annual penetration/DR evidence assessment.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QCL-2028-CVM-001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QCL-2028-CVM-001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Cybersecurity Vulnerability and Monitoring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