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System and Data Archive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QCL-2028-ARC-001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QCL-2028-ARC-001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record documents controlled archive transfers completed before Legacy LIMS retirement and the first QCLabOne archive pilot.</w:t>
      </w:r>
    </w:p>
    <w:p>
      <w:pPr>
        <w:pStyle w:val="Heading1"/>
      </w:pPr>
      <w:r>
        <w:t>2. Archive batches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22"/>
        <w:gridCol w:w="2656"/>
        <w:gridCol w:w="1454"/>
        <w:gridCol w:w="1644"/>
        <w:gridCol w:w="2023"/>
        <w:gridCol w:w="761"/>
      </w:tblGrid>
      <w:tr>
        <w:trPr>
          <w:tblHeader w:val="true"/>
        </w:trPr>
        <w:tc>
          <w:tcPr>
            <w:tcW w:type="dxa" w:w="82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Batch</w:t>
            </w:r>
          </w:p>
        </w:tc>
        <w:tc>
          <w:tcPr>
            <w:tcW w:type="dxa" w:w="26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Content</w:t>
            </w:r>
          </w:p>
        </w:tc>
        <w:tc>
          <w:tcPr>
            <w:tcW w:type="dxa" w:w="145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Population</w:t>
            </w:r>
          </w:p>
        </w:tc>
        <w:tc>
          <w:tcPr>
            <w:tcW w:type="dxa" w:w="16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Transfer date</w:t>
            </w:r>
          </w:p>
        </w:tc>
        <w:tc>
          <w:tcPr>
            <w:tcW w:type="dxa" w:w="202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Integrity result</w:t>
            </w:r>
          </w:p>
        </w:tc>
        <w:tc>
          <w:tcPr>
            <w:tcW w:type="dxa" w:w="76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ARC-BATCH-001</w:t>
            </w:r>
          </w:p>
        </w:tc>
        <w:tc>
          <w:tcPr>
            <w:tcW w:type="dxa" w:w="2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LIMS 2010–2014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38,420 packages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2028-01-12</w:t>
            </w:r>
          </w:p>
        </w:tc>
        <w:tc>
          <w:tcPr>
            <w:tcW w:type="dxa" w:w="2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manifest/checksum</w:t>
            </w:r>
          </w:p>
        </w:tc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ARC-BATCH-002</w:t>
            </w:r>
          </w:p>
        </w:tc>
        <w:tc>
          <w:tcPr>
            <w:tcW w:type="dxa" w:w="2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LIMS 2015–2017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41,962 packages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2028-01-26</w:t>
            </w:r>
          </w:p>
        </w:tc>
        <w:tc>
          <w:tcPr>
            <w:tcW w:type="dxa" w:w="2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manifest/checksum</w:t>
            </w:r>
          </w:p>
        </w:tc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ARC-BATCH-003</w:t>
            </w:r>
          </w:p>
        </w:tc>
        <w:tc>
          <w:tcPr>
            <w:tcW w:type="dxa" w:w="2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LIMS 2018–cutover archive copy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32,222 packages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2028-02-09</w:t>
            </w:r>
          </w:p>
        </w:tc>
        <w:tc>
          <w:tcPr>
            <w:tcW w:type="dxa" w:w="2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manifest/checksum</w:t>
            </w:r>
          </w:p>
        </w:tc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ARC-BATCH-004</w:t>
            </w:r>
          </w:p>
        </w:tc>
        <w:tc>
          <w:tcPr>
            <w:tcW w:type="dxa" w:w="2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Excel/paper index archive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22 files / 9,420 images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2028-02-16</w:t>
            </w:r>
          </w:p>
        </w:tc>
        <w:tc>
          <w:tcPr>
            <w:tcW w:type="dxa" w:w="2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count/checksum</w:t>
            </w:r>
          </w:p>
        </w:tc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ARC-BATCH-005</w:t>
            </w:r>
          </w:p>
        </w:tc>
        <w:tc>
          <w:tcPr>
            <w:tcW w:type="dxa" w:w="2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first closed-record archive pilot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1,000 packages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2028-02-23</w:t>
            </w:r>
          </w:p>
        </w:tc>
        <w:tc>
          <w:tcPr>
            <w:tcW w:type="dxa" w:w="2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manifest/retrieval</w:t>
            </w:r>
          </w:p>
        </w:tc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</w:tbl>
    <w:p>
      <w:pPr>
        <w:spacing w:after="80"/>
      </w:pPr>
    </w:p>
    <w:p>
      <w:pPr>
        <w:pStyle w:val="Heading1"/>
      </w:pPr>
      <w:r>
        <w:t>3. Storage and protection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ArchiveVault stores read-only packages with replicated encrypted copies and quarterly integrity scans. Search indexes include legacy sample ID, batch, material, test and date. Access is limited to Records Management, authorised QC/QA and inspection read-only roles.</w:t>
      </w:r>
    </w:p>
    <w:p>
      <w:pPr>
        <w:pStyle w:val="Heading1"/>
      </w:pPr>
      <w:r>
        <w:t>4. Retrieval sampling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stratified set of 600 legacy records and 100 attachments/audit histories was retrieved successfully; detailed evidence is in Document 103. QCLabOne pilot retrieval was also successful.</w:t>
      </w:r>
    </w:p>
    <w:p>
      <w:pPr>
        <w:pStyle w:val="Heading1"/>
      </w:pPr>
      <w:r>
        <w:t>5.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Archive transfers are complete and accepted for retirement planning.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Retention, Archiving and Record Retrieval SOP](070_Data_Retention_Archiving_and_Record_Retrieval_SOP.md)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Data Migration Execution and Reconciliation Record](073_Production_Data_Migration_Execution_and_Reconciliation_Record.md)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[Inspection Readiness Dossier and Audit Response Record](098_Inspection_Readiness_Dossier_and_Audit_Response_Record.md)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Data Archiving and Retention Plan](102_Legacy_Data_Archiving_and_Retention_Plan.md)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QCL-2028-ARC-001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QCL-2028-ARC-001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and Data Archive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