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Inspection Readiness Dossier and Audit Response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dossier supports inspection readiness and records the 2028-03-06 mock inspection.</w:t>
      </w:r>
    </w:p>
    <w:p>
      <w:pPr>
        <w:pStyle w:val="Heading1"/>
      </w:pPr>
      <w:r>
        <w:t>2. Dossier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4"/>
        <w:gridCol w:w="5245"/>
        <w:gridCol w:w="2161"/>
      </w:tblGrid>
      <w:tr>
        <w:trPr>
          <w:tblHeader w:val="true"/>
        </w:trPr>
        <w:tc>
          <w:tcPr>
            <w:tcW w:type="dxa" w:w="195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Topic</w:t>
            </w:r>
          </w:p>
        </w:tc>
        <w:tc>
          <w:tcPr>
            <w:tcW w:type="dxa" w:w="524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Evidence group</w:t>
            </w:r>
          </w:p>
        </w:tc>
        <w:tc>
          <w:tcPr>
            <w:tcW w:type="dxa" w:w="216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Readiness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Governance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SOP, VMP, inventory, RACI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Available and current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Intended use/risk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Scope, intended use, GxP, DIRA, Part 11, FRA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Traceable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Assessment, audit/CAPA, agreement, annual review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Current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Requirements/design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URS, FS/DS/CS, architecture, interfaces, data flow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FAT/SAT/IQ/OQ/PQ and specialised tests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Indexed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Issues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Defect/deviation/CAPA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Closed and traceable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RTM, VSR, migration, readiness, baseline, approval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Access/audit/backup/incident/change/periodic review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Current</w:t>
            </w:r>
          </w:p>
        </w:tc>
      </w:tr>
      <w:tr>
        <w:tc>
          <w:tcPr>
            <w:tcW w:type="dxa" w:w="1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Archive/retirement</w:t>
            </w:r>
          </w:p>
        </w:tc>
        <w:tc>
          <w:tcPr>
            <w:tcW w:type="dxa" w:w="5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records, retrievability, plan</w:t>
            </w:r>
          </w:p>
        </w:tc>
        <w:tc>
          <w:tcPr>
            <w:tcW w:type="dxa" w:w="21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Ready</w:t>
            </w:r>
          </w:p>
        </w:tc>
      </w:tr>
    </w:tbl>
    <w:p>
      <w:pPr>
        <w:spacing w:after="80"/>
      </w:pPr>
    </w:p>
    <w:p>
      <w:pPr>
        <w:pStyle w:val="Heading1"/>
      </w:pPr>
      <w:r>
        <w:t>3. Mock inspection requests and response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88"/>
        <w:gridCol w:w="4680"/>
        <w:gridCol w:w="1192"/>
      </w:tblGrid>
      <w:tr>
        <w:trPr>
          <w:tblHeader w:val="true"/>
        </w:trPr>
        <w:tc>
          <w:tcPr>
            <w:tcW w:type="dxa" w:w="34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Request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Response/evidence</w:t>
            </w:r>
          </w:p>
        </w:tc>
        <w:tc>
          <w:tcPr>
            <w:tcW w:type="dxa" w:w="11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3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Show lifecycle trace for an assay result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 → CDS link → calculation → audit → signatures → SAP status traced in 18 minutes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3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Show user role approval and latest review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UAR, training, access review and privileged review provided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3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Show audit-trail review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Q3 review, record-level example and CAPA effectiveness provided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3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Show backup/restore and DR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Monitoring, restore and 2028 exercise evidence provided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3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Show supplier control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Qualification, audit/CAPA, agreement and SLA review provided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3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Retrieve a 2013 legacy record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package, attachment and audit history retrieved in 11 minutes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</w:tbl>
    <w:p>
      <w:pPr>
        <w:spacing w:after="80"/>
      </w:pPr>
    </w:p>
    <w:p>
      <w:pPr>
        <w:pStyle w:val="Heading1"/>
      </w:pPr>
      <w:r>
        <w:t>4. Mock inspection observations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Minor: Dossier index used both “System Owner” and “QC System Owner” labels; index standardised. 2. Observation: Include a one-page official-record boundary diagram in the front of the dossier; added. 3. No critical/major data-integrity or validation gap identified.</w:t>
      </w:r>
    </w:p>
    <w:p>
      <w:pPr>
        <w:pStyle w:val="Heading1"/>
      </w:pPr>
      <w:r>
        <w:t>5. Audit-response record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Actions were completed by 2028-03-12. Evidence and response approval are retained with this document.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Deliverable List and Schedule](016_Master_Deliverable_List_and_Schedule.md)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and Data Archive Record](097_System_and_Data_Archive_Record.md)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QCL-2028-IRD-001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QCL-2028-IRD-001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Readiness Dossier and Audit Response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