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Legacy LIMS Retirement Risk Assessment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QCL-2028-RRA-001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Retirement</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2028-03-31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Approved/Closed in fictional retirement record</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QCL-2028-RRA-001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Retirement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2028-03-31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Approved/Closed in fictional retirement record</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Method</w:t>
      </w:r>
    </w:p>
    <w:p>
      <w:pPr>
        <w:spacing w:after="120" w:line="300" w:lineRule="auto"/>
      </w:pPr>
      <w:r>
        <w:rPr>
          <w:rFonts w:ascii="Calibri" w:hAnsi="Calibri"/>
          <w:b w:val="0"/>
          <w:i w:val="0"/>
          <w:color w:val="000000"/>
          <w:sz w:val="22"/>
        </w:rPr>
        <w:t>Severity, probability and detectability are scored 1–5. Retirement proceeds only after controls reduce each risk to acceptable residual level.</w:t>
      </w:r>
    </w:p>
    <w:p>
      <w:pPr>
        <w:pStyle w:val="Heading1"/>
      </w:pPr>
      <w:r>
        <w:t>2. Retirement risk register</w:t>
      </w:r>
    </w:p>
    <w:tbl>
      <w:tblPr>
        <w:tblStyle w:val="TableGrid"/>
        <w:tblW w:type="dxa" w:w="9360"/>
        <w:tblLayout w:type="fixed"/>
        <w:tblLook w:firstColumn="1" w:firstRow="1" w:lastColumn="0" w:lastRow="0" w:noHBand="0" w:noVBand="1" w:val="04A0"/>
        <w:tblInd w:w="120" w:type="dxa"/>
      </w:tblPr>
      <w:tblGrid>
        <w:gridCol w:w="720"/>
        <w:gridCol w:w="1126"/>
        <w:gridCol w:w="720"/>
        <w:gridCol w:w="720"/>
        <w:gridCol w:w="720"/>
        <w:gridCol w:w="985"/>
        <w:gridCol w:w="3870"/>
        <w:gridCol w:w="499"/>
      </w:tblGrid>
      <w:tr>
        <w:trPr>
          <w:tblHeader w:val="true"/>
        </w:trPr>
        <w:tc>
          <w:tcPr>
            <w:tcW w:type="dxa" w:w="720"/>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5"/>
              </w:rPr>
              <w:t>ID</w:t>
            </w:r>
          </w:p>
        </w:tc>
        <w:tc>
          <w:tcPr>
            <w:tcW w:type="dxa" w:w="1126"/>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5"/>
              </w:rPr>
              <w:t>Risk</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S</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P</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D</w:t>
            </w:r>
          </w:p>
        </w:tc>
        <w:tc>
          <w:tcPr>
            <w:tcW w:type="dxa" w:w="98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Initial</w:t>
            </w:r>
          </w:p>
        </w:tc>
        <w:tc>
          <w:tcPr>
            <w:tcW w:type="dxa" w:w="387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Control</w:t>
            </w:r>
          </w:p>
        </w:tc>
        <w:tc>
          <w:tcPr>
            <w:tcW w:type="dxa" w:w="499"/>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Residual</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RET-01</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Required legacy record omitted from archive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100% count/manifest reconciliation; stratified retrieval</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RET-02</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Attachments or audit trail not linked/readable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Checksum, relationship and retrieval verification</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RET-03</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Archive index cannot locate record during inspection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32 Medium</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Search index by sample/batch/material/test/date; retrieval timing test</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RET-04</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Legacy system shut down before acceptance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Formal retirement gate and QA/Records approval</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RET-05</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Legacy account/interface remains active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36 Medium</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Access revocation and network/interface shutdown checklist</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RET-06</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Final backup contains uncontrolled sensitive credentials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18 Medium</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Encrypted sealed backup; access list; scheduled secure destruction</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RET-07</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Old data modified during read-only period</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DB/app read-only controls and audit review</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RET-08</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Retention schedule incorrectly applied</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5</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40 High</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Records/legal review and archive category mapping</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RET-09</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Vendor/licence termination removes export utility</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18 Medium</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Complete open-format archive and documented viewer before termination</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r>
        <w:tc>
          <w:tcPr>
            <w:tcW w:type="dxa" w:w="720"/>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RET-10</w:t>
            </w:r>
          </w:p>
        </w:tc>
        <w:tc>
          <w:tcPr>
            <w:tcW w:type="dxa" w:w="1126"/>
            <w:vAlign w:val="center"/>
            <w:tcMar>
              <w:top w:w="80" w:type="dxa"/>
              <w:bottom w:w="80" w:type="dxa"/>
              <w:start w:w="120" w:type="dxa"/>
              <w:end w:w="120" w:type="dxa"/>
            </w:tcMar>
          </w:tcPr>
          <w:p>
            <w:pPr>
              <w:spacing w:after="0" w:line="276" w:lineRule="auto"/>
              <w:jc w:val="center"/>
            </w:pPr>
            <w:r/>
            <w:r>
              <w:rPr>
                <w:rFonts w:ascii="Calibri" w:hAnsi="Calibri"/>
                <w:b w:val="0"/>
                <w:color w:val="000000"/>
                <w:sz w:val="15"/>
              </w:rPr>
              <w:t>Decommissioning affects QCLabOne or enterprise interfaces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4</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3</w:t>
            </w:r>
          </w:p>
        </w:tc>
        <w:tc>
          <w:tcPr>
            <w:tcW w:type="dxa" w:w="985"/>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24 Medium</w:t>
            </w:r>
          </w:p>
        </w:tc>
        <w:tc>
          <w:tcPr>
            <w:tcW w:type="dxa" w:w="387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Network dependency review and post-shutdown smoke tests</w:t>
            </w:r>
          </w:p>
        </w:tc>
        <w:tc>
          <w:tcPr>
            <w:tcW w:type="dxa" w:w="499"/>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Low</w:t>
            </w:r>
          </w:p>
        </w:tc>
      </w:tr>
    </w:tbl>
    <w:p>
      <w:pPr>
        <w:spacing w:after="80"/>
      </w:pPr>
    </w:p>
    <w:p>
      <w:pPr>
        <w:pStyle w:val="Heading1"/>
      </w:pPr>
      <w:r>
        <w:t>3. Critical retirement gates</w:t>
      </w:r>
    </w:p>
    <w:p>
      <w:pPr>
        <w:spacing w:after="120" w:line="300" w:lineRule="auto"/>
      </w:pPr>
      <w:r>
        <w:rPr>
          <w:rFonts w:ascii="Calibri" w:hAnsi="Calibri"/>
          <w:b w:val="0"/>
          <w:i w:val="0"/>
          <w:color w:val="000000"/>
          <w:sz w:val="22"/>
        </w:rPr>
        <w:t>1. Complete archive count/checksum and retrieval approval. 2. Written Records Management and QA acceptance. 3. Confirm no legal hold or open investigation depends on live system. 4. Final read-only audit/access review. 5. Approved shutdown sequence and rollback/sealed backup. 6. Post-shutdown QCLabOne/SAP/eQMS/CDS smoke checks. 7. Inventory and dossier update.</w:t>
      </w:r>
    </w:p>
    <w:p>
      <w:pPr>
        <w:pStyle w:val="Heading1"/>
      </w:pPr>
      <w:r>
        <w:t>4. Risk conclusion</w:t>
      </w:r>
    </w:p>
    <w:p>
      <w:pPr>
        <w:spacing w:after="120" w:line="300" w:lineRule="auto"/>
      </w:pPr>
      <w:r>
        <w:rPr>
          <w:rFonts w:ascii="Calibri" w:hAnsi="Calibri"/>
          <w:b w:val="0"/>
          <w:i w:val="0"/>
          <w:color w:val="000000"/>
          <w:sz w:val="22"/>
        </w:rPr>
        <w:t>No retirement risk remains High after planned controls. The irreversible step—destruction of the final system image—is deferred for 90 days after shutdown and requires separate confirmation that archive and inspection retrieval remain effective.</w:t>
      </w:r>
    </w:p>
    <w:p>
      <w:pPr>
        <w:pStyle w:val="Heading1"/>
      </w:pPr>
      <w:r>
        <w:t>5.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QCL-2028-DCR-001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Decommissioning Request](099_Legacy_LIMS_Decommissioning_Request.md)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SOP-QA-ARC-001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Retention, Archiving and Record Retrieval SOP](070_Data_Retention_Archiving_and_Record_Retrieval_SOP.md)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QCL-2028-PRR-001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Periodic Review Report](092_Annual_Periodic_Review_Report.md)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QCL-2028-ARC-001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and Data Archive Record](097_System_and_Data_Archive_Record.md)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QCL-2028-RTP-001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Retirement Plan](101_Legacy_LIMS_Retirement_Plan.md)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QCL-2028-LAR-001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Data Archiving and Retention Plan](102_Legacy_Data_Archiving_and_Retention_Plan.md)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QCL-2028-AVR-001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Archive Verification and Retrievability Report](103_Legacy_Archive_Verification_and_Retrievability_Report.md)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QCL-2028-AIS-001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Access Revocation and Interface Shutdown Record](104_Legacy_Access_Revocation_and_Interface_Shutdown_Record.md)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QCL-2028-DCL-001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System Decommissioning Checklist](105_Legacy_System_Decommissioning_Checklist.md)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Retirement Summary Report](106_Legacy_LIMS_Retirement_Summary_Report.md)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202"/>
        <w:gridCol w:w="2955"/>
        <w:gridCol w:w="3203"/>
      </w:tblGrid>
      <w:tr>
        <w:trPr>
          <w:tblHeader w:val="true"/>
        </w:trPr>
        <w:tc>
          <w:tcPr>
            <w:tcW w:type="dxa" w:w="320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95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20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System Owner</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Records Management Owner</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Quality Head</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2028-03-31</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QCL-2028-RRA-001 | Version 1.0 | Approved/Closed in fictional retirement record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QCL-2028-RRA-001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LIMS Retirement Risk Assessment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