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Legacy LIMS Retirement Plan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QCL-2028-RTP-001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QCL-2028-RTP-001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Retire Legacy LIMS without loss of records, inspection access, business continuity or unintended impact on QCLabOne/enterprise systems.</w:t>
      </w:r>
    </w:p>
    <w:p>
      <w:pPr>
        <w:pStyle w:val="Heading1"/>
      </w:pPr>
      <w:r>
        <w:t>2. Retirement sequence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3625"/>
        <w:gridCol w:w="1581"/>
        <w:gridCol w:w="790"/>
        <w:gridCol w:w="2644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Step</w:t>
            </w:r>
          </w:p>
        </w:tc>
        <w:tc>
          <w:tcPr>
            <w:tcW w:type="dxa" w:w="362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Activity</w:t>
            </w:r>
          </w:p>
        </w:tc>
        <w:tc>
          <w:tcPr>
            <w:tcW w:type="dxa" w:w="158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Owner</w:t>
            </w:r>
          </w:p>
        </w:tc>
        <w:tc>
          <w:tcPr>
            <w:tcW w:type="dxa" w:w="7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Target</w:t>
            </w:r>
          </w:p>
        </w:tc>
        <w:tc>
          <w:tcPr>
            <w:tcW w:type="dxa" w:w="26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Case status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R1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Confirm archive/retrieval and retention approval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Records Management/QA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2028-03-20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R2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Notify users/support/enterprise owners and freeze changes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System Owner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2028-03-22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R3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Final read-only backup and checksum; seal recovery package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 Infrastructure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2028-03-28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R4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Disable user/vendor/service accounts except retirement team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IT/Security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2028-03-29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R5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Stop legacy SAP/CDS/instrument interfaces and firewall routes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 Integration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2028-03-30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R6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Execute final record/audit retrieval and open-item check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QC/QA/Records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2028-03-30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R7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Shutdown application/database and retain VM/storage offline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 Infrastructure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2028-03-31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R8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Post-shutdown QCLabOne/enterprise smoke tests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Owners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2028-03-31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R9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Update inventory, CMDB, licences and support contracts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Owner/Procurement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2028-03-31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R10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 retirement summary/dossier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QA/System/Records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2028-03-31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R11</w:t>
            </w:r>
          </w:p>
        </w:tc>
        <w:tc>
          <w:tcPr>
            <w:tcW w:type="dxa" w:w="36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After 90 days, securely destroy sealed image if no issue</w:t>
            </w:r>
          </w:p>
        </w:tc>
        <w:tc>
          <w:tcPr>
            <w:tcW w:type="dxa" w:w="15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IT/Records/QA</w:t>
            </w:r>
          </w:p>
        </w:tc>
        <w:tc>
          <w:tcPr>
            <w:tcW w:type="dxa" w:w="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2028-06-30</w:t>
            </w:r>
          </w:p>
        </w:tc>
        <w:tc>
          <w:tcPr>
            <w:tcW w:type="dxa" w:w="26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Planned outside immediate shutdown; tracked</w:t>
            </w:r>
          </w:p>
        </w:tc>
      </w:tr>
    </w:tbl>
    <w:p>
      <w:pPr>
        <w:spacing w:after="80"/>
      </w:pPr>
    </w:p>
    <w:p>
      <w:pPr>
        <w:pStyle w:val="Heading1"/>
      </w:pPr>
      <w:r>
        <w:t>3. Rollback/contingency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Until the 90-day hold ends, the final encrypted VM/database backup is retained offline with controlled access. If a material archive defect is discovered, the retirement team may restore the legacy environment in an isolated network for recovery only, under QA/Records approval. It will not resume routine processing.</w:t>
      </w:r>
    </w:p>
    <w:p>
      <w:pPr>
        <w:pStyle w:val="Heading1"/>
      </w:pPr>
      <w:r>
        <w:t>4. Communications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QC/QA users, IT service desk, ERP/CDS/eQMS owners, supplier, Records Management, Security, Finance/Procurement and inspection coordinators receive the approved schedule and official-record-source statement.</w:t>
      </w:r>
    </w:p>
    <w:p>
      <w:pPr>
        <w:pStyle w:val="Heading1"/>
      </w:pPr>
      <w:r>
        <w:t>5. Acceptance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preconditions complete; archive accepted; accounts/interfaces shut; server shutdown verified; no effect on QCLabOne/enterprise services; inventory/dossier updated; final report approved.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Decommissioning Request](099_Legacy_LIMS_Decommissioning_Request.md)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Risk Assessment](100_Legacy_LIMS_Retirement_Risk_Assessment.md)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QCL-2028-AIS-001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Access Revocation and Interface Shutdown Record](104_Legacy_Access_Revocation_and_Interface_Shutdown_Record.md)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System Decommissioning Checklist](105_Legacy_System_Decommissioning_Checklist.md)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CSI-SZ-001-CHG-2028-03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[Computerised System Inventory Update—Retired Status](107_Computerised_System_Inventory_Update_Retired_Status.md)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QCL-2028-RTP-001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QCL-2028-RTP-001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Legacy LIMS Retirement Plan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