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Data Archiving and Retention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Define how Legacy LIMS records are retained, indexed, protected and disposed after retirement.</w:t>
      </w:r>
    </w:p>
    <w:p>
      <w:pPr>
        <w:pStyle w:val="Heading1"/>
      </w:pPr>
      <w:r>
        <w:t>2. Retention mapping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49"/>
        <w:gridCol w:w="3900"/>
        <w:gridCol w:w="2411"/>
      </w:tblGrid>
      <w:tr>
        <w:trPr>
          <w:tblHeader w:val="true"/>
        </w:trPr>
        <w:tc>
          <w:tcPr>
            <w:tcW w:type="dxa" w:w="304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Record class</w:t>
            </w:r>
          </w:p>
        </w:tc>
        <w:tc>
          <w:tcPr>
            <w:tcW w:type="dxa" w:w="3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Retention decision</w:t>
            </w:r>
          </w:p>
        </w:tc>
        <w:tc>
          <w:tcPr>
            <w:tcW w:type="dxa" w:w="241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Repository/form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sample/test/result records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Mapped by product/batch retention category; minimum per approved GMP schedule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ArchiveVault package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audit trails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as associated record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Included in package and searchable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Attachments/scanned worksheets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as associated record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Binary + checksum + metadata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User/role history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life + applicable investigation/record retention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metadata/export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configuration/specification versions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life + related record retention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export/eDMS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logs/reconciliation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 years minimum; longer if linked to record/investigation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log package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Validation/operation/retirement evidence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 validation record schedule; dossier index permanent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eDMS</w:t>
            </w:r>
          </w:p>
        </w:tc>
      </w:tr>
      <w:tr>
        <w:tc>
          <w:tcPr>
            <w:tcW w:type="dxa" w:w="30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Final sealed system image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90-day post-shutdown contingency, then secure destruction if approved</w:t>
            </w:r>
          </w:p>
        </w:tc>
        <w:tc>
          <w:tcPr>
            <w:tcW w:type="dxa" w:w="241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Offline encrypted vault</w:t>
            </w:r>
          </w:p>
        </w:tc>
      </w:tr>
    </w:tbl>
    <w:p>
      <w:pPr>
        <w:spacing w:after="80"/>
      </w:pPr>
    </w:p>
    <w:p>
      <w:pPr>
        <w:pStyle w:val="Heading1"/>
      </w:pPr>
      <w:r>
        <w:t>3. Archive format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legacy package contains human-readable PDF/A or viewer-independent rendering, structured XML/JSON metadata, original attachments, audit-trail export, user/signature metadata and SHA-256 manifest. Proprietary database dependence is not required for routine retrieval.</w:t>
      </w:r>
    </w:p>
    <w:p>
      <w:pPr>
        <w:pStyle w:val="Heading1"/>
      </w:pPr>
      <w:r>
        <w:t>4. Index and ownership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Search keys: Legacy Sample ID, QCLabOne migrated ID where applicable, batch, material/product, test, status, date range and archive package ID. Records Management owns archive administration; QC/QA owns content interpretation.</w:t>
      </w:r>
    </w:p>
    <w:p>
      <w:pPr>
        <w:pStyle w:val="Heading1"/>
      </w:pPr>
      <w:r>
        <w:t>5. Legal hold and disposition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Before any archive purge or final system-image destruction, Records Management checks legal/regulatory/investigation holds. Destruction requires a separately approved record and does not occur solely because the application is retired.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QCL-2028-LAR-001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QCL-2028-LAR-001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Data Archiving and Retention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