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Legacy Archive Verification and Retrievability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Demonstrate completeness, integrity, readability, searchability and long-term retrievability of Legacy LIMS records before shutdown.</w:t>
      </w:r>
    </w:p>
    <w:p>
      <w:pPr>
        <w:pStyle w:val="Heading1"/>
      </w:pPr>
      <w:r>
        <w:t>2. Verification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7"/>
        <w:gridCol w:w="3550"/>
        <w:gridCol w:w="3098"/>
        <w:gridCol w:w="905"/>
      </w:tblGrid>
      <w:tr>
        <w:trPr>
          <w:tblHeader w:val="true"/>
        </w:trPr>
        <w:tc>
          <w:tcPr>
            <w:tcW w:type="dxa" w:w="180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 area</w:t>
            </w:r>
          </w:p>
        </w:tc>
        <w:tc>
          <w:tcPr>
            <w:tcW w:type="dxa" w:w="3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Scope</w:t>
            </w:r>
          </w:p>
        </w:tc>
        <w:tc>
          <w:tcPr>
            <w:tcW w:type="dxa" w:w="3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  <w:tc>
          <w:tcPr>
            <w:tcW w:type="dxa" w:w="90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Population reconciliation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112,604 archive packages; 1,482,610 audit events; 24,806 attachments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100% count/manifest agreement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Checksum verification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package files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100% SHA-256 verification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Stratified sample records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600 records across 2010–2027, modules/statuses/products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600/600 readable and matched source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Attachments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150 selected incl. large/multilingual/special-character files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150/150 open and hash match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histories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150 selected records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150/150 complete, chronological and linked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Electronic approval metadata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 approved records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Name/ID/time/meaning/history available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Search performance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Sample/batch/material/test/date queries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Median 4.8 min; maximum 14 min; target &lt;30 min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Inspection copy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 complete record packages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Readable export produced without altering source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Secondary copy recovery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50 packages from secondary archive copy</w:t>
            </w:r>
          </w:p>
        </w:tc>
        <w:tc>
          <w:tcPr>
            <w:tcW w:type="dxa" w:w="3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50/50 pass</w:t>
            </w:r>
          </w:p>
        </w:tc>
        <w:tc>
          <w:tcPr>
            <w:tcW w:type="dxa" w:w="9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Sampling rationale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Sampling was stratified by year, product/material, chemistry/microbiology/stability, approved/rejected/cancelled status, attachment presence, audit-event complexity and migrated/archive-only disposition. High-risk and unusual records were deliberately over-sampled.</w:t>
      </w:r>
    </w:p>
    <w:p>
      <w:pPr>
        <w:pStyle w:val="Heading1"/>
      </w:pPr>
      <w:r>
        <w:t>4. Exceptions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Three index labels used an obsolete test-name synonym. The records and data were correct; index aliases were added and re-tested. No missing/corrupt record, attachment or audit trail was found.</w:t>
      </w:r>
    </w:p>
    <w:p>
      <w:pPr>
        <w:pStyle w:val="Heading1"/>
      </w:pPr>
      <w:r>
        <w:t>5. Acceptance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QC Data Owner, QA and Records Management accept ArchiveVault as the official source for Legacy LIMS records after retirement.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and Data Archive Record](097_System_and_Data_Archive_Record.md)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Risk Assessment](100_Legacy_LIMS_Retirement_Risk_Assessment.md)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QCL-2028-AIS-001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Access Revocation and Interface Shutdown Record](104_Legacy_Access_Revocation_and_Interface_Shutdown_Record.md)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System Decommissioning Checklist](105_Legacy_System_Decommissioning_Checklist.md)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QCL-2028-AVR-001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QCL-2028-AVR-001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Archive Verification and Retrievability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