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Legacy System Decommissioning Checklist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Decommissioning checklist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594"/>
        <w:gridCol w:w="2246"/>
        <w:gridCol w:w="3520"/>
      </w:tblGrid>
      <w:tr>
        <w:trPr>
          <w:tblHeader w:val="true"/>
        </w:trPr>
        <w:tc>
          <w:tcPr>
            <w:tcW w:type="dxa" w:w="35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Check</w:t>
            </w:r>
          </w:p>
        </w:tc>
        <w:tc>
          <w:tcPr>
            <w:tcW w:type="dxa" w:w="224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Complete/result</w:t>
            </w:r>
          </w:p>
        </w:tc>
        <w:tc>
          <w:tcPr>
            <w:tcW w:type="dxa" w:w="35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Evidence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 request/risk/plan approved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Documents 099–101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Archive/retention/retrieval accepted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Documents 102–103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Open incidents/changes/investigations checked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blocking item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Final backup/system image sealed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ID LEG-FINAL-20280328; checksum retained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Users/vendor/service accounts revoked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104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Interfaces/schedulers/network routes stopped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104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 services stopped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 10:12 CST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Oracle database stopped and storage made offline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 10:20 CST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VMs powered off and CMDB marked retired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 10:35 CST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QCLabOne/SAP/eQMS/CDS smoke tests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 11:10 CST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search/retrieval after shutdown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 selected records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Licences/contracts/monitoring alerts updated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orphan alert/service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Inventory and dossier update prepared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Documents 107–108</w:t>
            </w:r>
          </w:p>
        </w:tc>
      </w:tr>
      <w:tr>
        <w:tc>
          <w:tcPr>
            <w:tcW w:type="dxa" w:w="35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90-day secure destruction action tracked</w:t>
            </w:r>
          </w:p>
        </w:tc>
        <w:tc>
          <w:tcPr>
            <w:tcW w:type="dxa" w:w="22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Yes</w:t>
            </w:r>
          </w:p>
        </w:tc>
        <w:tc>
          <w:tcPr>
            <w:tcW w:type="dxa" w:w="35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Due 2028-06-30</w:t>
            </w:r>
          </w:p>
        </w:tc>
      </w:tr>
    </w:tbl>
    <w:p>
      <w:pPr>
        <w:spacing w:after="80"/>
      </w:pPr>
    </w:p>
    <w:p>
      <w:pPr>
        <w:pStyle w:val="Heading1"/>
      </w:pPr>
      <w:r>
        <w:t>2. Exceptions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decommissioning exception occurred. The final encrypted system image is deliberately retained for 90 days as a controlled contingency and is not the official archive.</w:t>
      </w:r>
    </w:p>
    <w:p>
      <w:pPr>
        <w:pStyle w:val="Heading1"/>
      </w:pPr>
      <w:r>
        <w:t>3.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Legacy LIMS application and database services are shut down, network-accessible processing is disabled, and required records remain available in ArchiveVault.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Plan](101_Legacy_LIMS_Retirement_Plan.md)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Access Revocation and Interface Shutdown Record](104_Legacy_Access_Revocation_and_Interface_Shutdown_Record.md)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[Computerised System Inventory Update—Retired Status](107_Computerised_System_Inventory_Update_Retired_Status.md)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QCL-2028-DCL-001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QCL-2028-DCL-001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System Decommissioning Checklist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