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Legacy LIMS Retirement Summary Report</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QCL-2028-RSR-001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Retirement</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2028-03-31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Approved/Closed in fictional retirement record</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QCL-2028-RSR-001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Retirement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2028-03-31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Approved/Closed in fictional retirement record</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Executive summary</w:t>
      </w:r>
    </w:p>
    <w:p>
      <w:pPr>
        <w:spacing w:after="120" w:line="300" w:lineRule="auto"/>
      </w:pPr>
      <w:r>
        <w:rPr>
          <w:rFonts w:ascii="Calibri" w:hAnsi="Calibri"/>
          <w:b w:val="0"/>
          <w:i w:val="0"/>
          <w:color w:val="000000"/>
          <w:sz w:val="22"/>
        </w:rPr>
        <w:t>Legacy LIMS 6.2 was retired on 2028-03-31 after successful QCLabOne operation, complete archive transfer, approved retrievability evidence and controlled shutdown.</w:t>
      </w:r>
    </w:p>
    <w:p>
      <w:pPr>
        <w:pStyle w:val="Heading1"/>
      </w:pPr>
      <w:r>
        <w:t>2. Completion summary</w:t>
      </w:r>
    </w:p>
    <w:tbl>
      <w:tblPr>
        <w:tblStyle w:val="TableGrid"/>
        <w:tblW w:type="dxa" w:w="9360"/>
        <w:tblLayout w:type="fixed"/>
        <w:tblLook w:firstColumn="1" w:firstRow="1" w:lastColumn="0" w:lastRow="0" w:noHBand="0" w:noVBand="1" w:val="04A0"/>
        <w:tblInd w:w="120" w:type="dxa"/>
      </w:tblPr>
      <w:tblGrid>
        <w:gridCol w:w="3004"/>
        <w:gridCol w:w="6356"/>
      </w:tblGrid>
      <w:tr>
        <w:trPr>
          <w:tblHeader w:val="true"/>
        </w:trPr>
        <w:tc>
          <w:tcPr>
            <w:tcW w:type="dxa" w:w="300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Area</w:t>
            </w:r>
          </w:p>
        </w:tc>
        <w:tc>
          <w:tcPr>
            <w:tcW w:type="dxa" w:w="635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Final conclusion</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Business replacement</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has supported approved QC processes since 2027-06-15</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Migration</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Active required records migrated and production reconciliation accepted</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Archive</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112,604 packages, 1,482,610 audit events and 24,806 attachments accepted</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Retrievability</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600-record stratified sample and supporting attachment/audit checks pass</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Retention</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 classes mapped; legal-hold control retained</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Access/interfaces</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All legacy accounts/routes/jobs disabled; no unauthorised activity</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Decommissioning</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Application/database stopped; infrastructure retired in CMDB</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Post-shutdown verification</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QCLabOne/enterprise interfaces and archive access pass</w:t>
            </w:r>
          </w:p>
        </w:tc>
      </w:tr>
      <w:tr>
        <w:tc>
          <w:tcPr>
            <w:tcW w:type="dxa" w:w="300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Open risk</w:t>
            </w:r>
          </w:p>
        </w:tc>
        <w:tc>
          <w:tcPr>
            <w:tcW w:type="dxa" w:w="635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 unacceptable retirement risk; 90-day sealed-image action tracked</w:t>
            </w:r>
          </w:p>
        </w:tc>
      </w:tr>
    </w:tbl>
    <w:p>
      <w:pPr>
        <w:spacing w:after="80"/>
      </w:pPr>
    </w:p>
    <w:p>
      <w:pPr>
        <w:pStyle w:val="Heading1"/>
      </w:pPr>
      <w:r>
        <w:t>3. Official record statement</w:t>
      </w:r>
    </w:p>
    <w:p>
      <w:pPr>
        <w:spacing w:after="120" w:line="300" w:lineRule="auto"/>
      </w:pPr>
      <w:r>
        <w:rPr>
          <w:rFonts w:ascii="Calibri" w:hAnsi="Calibri"/>
          <w:b w:val="0"/>
          <w:i w:val="0"/>
          <w:color w:val="000000"/>
          <w:sz w:val="22"/>
        </w:rPr>
        <w:t>From 2028-03-31, ArchiveVault is the official source for Legacy LIMS records. QCLabOne is the official source for records created in QCLabOne and for migrated active records according to the migration mapping. The sealed legacy system image is contingency-only and not for routine use.</w:t>
      </w:r>
    </w:p>
    <w:p>
      <w:pPr>
        <w:pStyle w:val="Heading1"/>
      </w:pPr>
      <w:r>
        <w:t>4. Retirement decision</w:t>
      </w:r>
    </w:p>
    <w:p>
      <w:pPr>
        <w:spacing w:after="120" w:line="300" w:lineRule="auto"/>
      </w:pPr>
      <w:r>
        <w:rPr>
          <w:rFonts w:ascii="Calibri" w:hAnsi="Calibri"/>
          <w:b w:val="0"/>
          <w:i w:val="0"/>
          <w:color w:val="000000"/>
          <w:sz w:val="22"/>
        </w:rPr>
        <w:t>Retirement is complete and approved. The system shall not be returned to routine service. Any recovery from the sealed image requires QA/Records approval and a documented incident/change.</w:t>
      </w:r>
    </w:p>
    <w:p>
      <w:pPr>
        <w:pStyle w:val="Heading1"/>
      </w:pPr>
      <w:r>
        <w:t>5.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QCL-2028-PRR-001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[Annual Periodic Review Report](092_Annual_Periodic_Review_Report.md)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QCL-2028-DCR-001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Decommissioning Request](099_Legacy_LIMS_Decommissioning_Request.md)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QCL-2028-RRA-001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Risk Assessment](100_Legacy_LIMS_Retirement_Risk_Assessment.md)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QCL-2028-RTP-001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LIMS Retirement Plan](101_Legacy_LIMS_Retirement_Plan.md)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QCL-2028-LAR-001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Data Archiving and Retention Plan](102_Legacy_Data_Archiving_and_Retention_Plan.md)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QCL-2028-AVR-001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Archive Verification and Retrievability Report](103_Legacy_Archive_Verification_and_Retrievability_Report.md)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QCL-2028-AIS-001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Access Revocation and Interface Shutdown Record](104_Legacy_Access_Revocation_and_Interface_Shutdown_Record.md)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QCL-2028-DCL-001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System Decommissioning Checklist](105_Legacy_System_Decommissioning_Checklist.md)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CSI-SZ-001-CHG-2028-03</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[Computerised System Inventory Update—Retired Status](107_Computerised_System_Inventory_Update_Retired_Status.md)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QCL-2028-FDI-001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[Final Validation and Retirement Dossier Index](108_Final_Validation_and_Retirement_Dossier_Index.md)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202"/>
        <w:gridCol w:w="2955"/>
        <w:gridCol w:w="3203"/>
      </w:tblGrid>
      <w:tr>
        <w:trPr>
          <w:tblHeader w:val="true"/>
        </w:trPr>
        <w:tc>
          <w:tcPr>
            <w:tcW w:type="dxa" w:w="320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95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2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Legacy System Owner</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Records Management Owner</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 Quality Head</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2028-03-31</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QCL-2028-RSR-001 | Version 1.0 | Approved/Closed in fictional retirement record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QCL-2028-RSR-001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LIMS Retirement Summary Report</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