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Computerised System Inventory Update—Retired Status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CSI-SZ-001-CHG-2028-03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CSI-SZ-001-CHG-2028-03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Inventory change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site Computerised System Inventory was updated after Legacy LIMS retirement.</w:t>
      </w:r>
    </w:p>
    <w:p>
      <w:pPr>
        <w:pStyle w:val="Heading1"/>
      </w:pPr>
      <w:r>
        <w:t>2. Updated entries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399"/>
        <w:gridCol w:w="1543"/>
        <w:gridCol w:w="2508"/>
        <w:gridCol w:w="1157"/>
        <w:gridCol w:w="2033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ID</w:t>
            </w:r>
          </w:p>
        </w:tc>
        <w:tc>
          <w:tcPr>
            <w:tcW w:type="dxa" w:w="139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System</w:t>
            </w:r>
          </w:p>
        </w:tc>
        <w:tc>
          <w:tcPr>
            <w:tcW w:type="dxa" w:w="154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Lifecycle status</w:t>
            </w:r>
          </w:p>
        </w:tc>
        <w:tc>
          <w:tcPr>
            <w:tcW w:type="dxa" w:w="250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Validation/record status</w:t>
            </w:r>
          </w:p>
        </w:tc>
        <w:tc>
          <w:tcPr>
            <w:tcW w:type="dxa" w:w="11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Owner</w:t>
            </w:r>
          </w:p>
        </w:tc>
        <w:tc>
          <w:tcPr>
            <w:tcW w:type="dxa" w:w="20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Next action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SYS-001</w:t>
            </w:r>
          </w:p>
        </w:tc>
        <w:tc>
          <w:tcPr>
            <w:tcW w:type="dxa" w:w="13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LIMS/LES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</w:t>
            </w:r>
          </w:p>
        </w:tc>
        <w:tc>
          <w:tcPr>
            <w:tcW w:type="dxa" w:w="2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Validated; baseline 1.1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System Owner</w:t>
            </w:r>
          </w:p>
        </w:tc>
        <w:tc>
          <w:tcPr>
            <w:tcW w:type="dxa" w:w="20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Next review 2029-03-15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SYS-002</w:t>
            </w:r>
          </w:p>
        </w:tc>
        <w:tc>
          <w:tcPr>
            <w:tcW w:type="dxa" w:w="13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QCL-IGW-01 Interface Gateway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</w:t>
            </w:r>
          </w:p>
        </w:tc>
        <w:tc>
          <w:tcPr>
            <w:tcW w:type="dxa" w:w="2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Qualified/controlled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 System Owner</w:t>
            </w:r>
          </w:p>
        </w:tc>
        <w:tc>
          <w:tcPr>
            <w:tcW w:type="dxa" w:w="20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Next review 2029-03-15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SYS-007</w:t>
            </w:r>
          </w:p>
        </w:tc>
        <w:tc>
          <w:tcPr>
            <w:tcW w:type="dxa" w:w="13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6.2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Retired 2028-03-31</w:t>
            </w:r>
          </w:p>
        </w:tc>
        <w:tc>
          <w:tcPr>
            <w:tcW w:type="dxa" w:w="2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Decommissioned; official records in ArchiveVault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Records Management Owner</w:t>
            </w:r>
          </w:p>
        </w:tc>
        <w:tc>
          <w:tcPr>
            <w:tcW w:type="dxa" w:w="20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periodic system review; archive review applies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SYS-008</w:t>
            </w:r>
          </w:p>
        </w:tc>
        <w:tc>
          <w:tcPr>
            <w:tcW w:type="dxa" w:w="13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QC Excel Registers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Replaced/archived</w:t>
            </w:r>
          </w:p>
        </w:tc>
        <w:tc>
          <w:tcPr>
            <w:tcW w:type="dxa" w:w="2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longer approved for in-scope final GMP processing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Process Owners</w:t>
            </w:r>
          </w:p>
        </w:tc>
        <w:tc>
          <w:tcPr>
            <w:tcW w:type="dxa" w:w="20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Retain sources per archive plan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SYS-009</w:t>
            </w:r>
          </w:p>
        </w:tc>
        <w:tc>
          <w:tcPr>
            <w:tcW w:type="dxa" w:w="13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ArchiveVault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</w:t>
            </w:r>
          </w:p>
        </w:tc>
        <w:tc>
          <w:tcPr>
            <w:tcW w:type="dxa" w:w="2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Qualified official archive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Records Management Owner</w:t>
            </w:r>
          </w:p>
        </w:tc>
        <w:tc>
          <w:tcPr>
            <w:tcW w:type="dxa" w:w="20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Next review 2029-03-15</w:t>
            </w:r>
          </w:p>
        </w:tc>
      </w:tr>
    </w:tbl>
    <w:p>
      <w:pPr>
        <w:spacing w:after="80"/>
      </w:pPr>
    </w:p>
    <w:p>
      <w:pPr>
        <w:pStyle w:val="Heading1"/>
      </w:pPr>
      <w:r>
        <w:t>3. Retirement metadata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Retirement report: QCL-2028-RSR-001. Archive location: ArchiveVault tenant ARC-NSP-SZ-01. Shutdown date/time: 2028-03-31 10:20 CST. Final sealed image action due: 2028-06-30.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inventory accurately reflects current ownership and lifecycle state. Legacy LIMS is no longer an active computerised system; ArchiveVault remains active and validated.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Computerised System Inventory](003_Computerised_System_Inventory.md)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System Decommissioning Checklist](105_Legacy_System_Decommissioning_Checklist.md)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CSI-SZ-001-CHG-2028-03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CSI-SZ-001-CHG-2028-03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Computerised System Inventory Update—Retired Status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