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95959"/>
          <w:sz w:val="19"/>
        </w:rPr>
        <w:t>GMP CSV Controlled Document</w:t>
      </w:r>
    </w:p>
    <w:p>
      <w:pPr>
        <w:spacing w:after="80"/>
      </w:pPr>
      <w:r>
        <w:rPr>
          <w:rFonts w:ascii="Calibri" w:hAnsi="Calibri"/>
          <w:b/>
          <w:color w:val="0B2545"/>
          <w:sz w:val="44"/>
        </w:rPr>
        <w:t>Site Computerised System Inventory</w:t>
      </w:r>
    </w:p>
    <w:p>
      <w:pPr>
        <w:spacing w:after="200"/>
      </w:pPr>
      <w:r>
        <w:rPr>
          <w:rFonts w:ascii="Calibri" w:hAnsi="Calibri"/>
          <w:color w:val="595959"/>
          <w:sz w:val="23"/>
        </w:rPr>
        <w:t>QCLabOne 2.0 QC Laboratory Digital Platform Replacement Project</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Control Field</w:t>
            </w:r>
          </w:p>
        </w:tc>
        <w:tc>
          <w:tcPr>
            <w:tcW w:type="dxa" w:w="666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Value</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Document number</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CSI-SZ-001</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System</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QCLabOne 2.0 LIMS/LES</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Lifecycle phase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CSV Governance</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Version</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1.0</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Effective/record date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2026-01-15</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Status</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Approved in fictional case</w:t>
            </w:r>
          </w:p>
        </w:tc>
      </w:tr>
    </w:tbl>
    <w:p>
      <w:pPr>
        <w:spacing w:after="8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7F9FC"/>
            <w:vAlign w:val="center"/>
            <w:tcMar>
              <w:top w:w="80" w:type="dxa"/>
              <w:bottom w:w="80" w:type="dxa"/>
              <w:start w:w="120" w:type="dxa"/>
              <w:end w:w="120" w:type="dxa"/>
            </w:tcMar>
          </w:tcPr>
          <w:p>
            <w:pPr>
              <w:spacing w:after="0" w:line="276" w:lineRule="auto"/>
            </w:pPr>
            <w:r/>
            <w:r>
              <w:rPr>
                <w:rFonts w:ascii="Calibri" w:hAnsi="Calibri"/>
                <w:b w:val="0"/>
                <w:color w:val="595959"/>
                <w:sz w:val="19"/>
              </w:rPr>
              <w:t>Use notice: This Markdown file is a fully populated fictional CSV training case. It is not an executed GMP record and does not replace company procedures, approved signatures, supplier evidence, or site-specific risk decisions.</w:t>
            </w:r>
          </w:p>
        </w:tc>
      </w:tr>
    </w:tbl>
    <w:p>
      <w:pPr>
        <w:spacing w:after="80"/>
      </w:pPr>
    </w:p>
    <w:p>
      <w:pPr>
        <w:pStyle w:val="Heading1"/>
      </w:pPr>
      <w:r>
        <w:t>Document control</w:t>
      </w:r>
    </w:p>
    <w:tbl>
      <w:tblPr>
        <w:tblStyle w:val="TableGrid"/>
        <w:tblW w:type="dxa" w:w="9360"/>
        <w:tblLayout w:type="fixed"/>
        <w:tblLook w:firstColumn="1" w:firstRow="1" w:lastColumn="0" w:lastRow="0" w:noHBand="0" w:noVBand="1" w:val="04A0"/>
        <w:tblInd w:w="120" w:type="dxa"/>
      </w:tblPr>
      <w:tblGrid>
        <w:gridCol w:w="2586"/>
        <w:gridCol w:w="6774"/>
      </w:tblGrid>
      <w:tr>
        <w:trPr>
          <w:tblHeader w:val="true"/>
        </w:trPr>
        <w:tc>
          <w:tcPr>
            <w:tcW w:type="dxa" w:w="258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Field</w:t>
            </w:r>
          </w:p>
        </w:tc>
        <w:tc>
          <w:tcPr>
            <w:tcW w:type="dxa" w:w="677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Value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Document number</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CSI-SZ-001</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Company</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NovaSterile Pharma Co., Ltd.</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Suzhou Sterile Products Manufacturing Site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Project</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QC Laboratory Digital Platform Replacement Project</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LIMS/LES</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Lifecycle phase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CSV Governance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Version</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1.0</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Effective/record date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2026-01-15</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Case status</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Governing references</w:t>
      </w:r>
    </w:p>
    <w:p>
      <w:pPr>
        <w:pStyle w:val="ListBullet"/>
        <w:spacing w:after="80" w:line="300" w:lineRule="auto"/>
      </w:pPr>
      <w:r>
        <w:rPr>
          <w:rFonts w:ascii="Calibri" w:hAnsi="Calibri"/>
          <w:color w:val="000000"/>
          <w:sz w:val="22"/>
        </w:rPr>
        <w:t>China GMP (2010 Revision), Appendix: Computerised Systems (effective 1 December 2015)</w:t>
      </w:r>
    </w:p>
    <w:p>
      <w:pPr>
        <w:pStyle w:val="ListBullet"/>
        <w:spacing w:after="80" w:line="300" w:lineRule="auto"/>
      </w:pPr>
      <w:r>
        <w:rPr>
          <w:rFonts w:ascii="Calibri" w:hAnsi="Calibri"/>
          <w:color w:val="000000"/>
          <w:sz w:val="22"/>
        </w:rPr>
        <w:t>China GMP (2010 Revision), Appendix: Qualification and Validation (effective 1 December 2015)</w:t>
      </w:r>
    </w:p>
    <w:p>
      <w:pPr>
        <w:pStyle w:val="ListBullet"/>
        <w:spacing w:after="80" w:line="300" w:lineRule="auto"/>
      </w:pPr>
      <w:r>
        <w:rPr>
          <w:rFonts w:ascii="Calibri" w:hAnsi="Calibri"/>
          <w:color w:val="000000"/>
          <w:sz w:val="22"/>
        </w:rPr>
        <w:t>EU GMP Annex 11: Computerised Systems (2011)</w:t>
      </w:r>
    </w:p>
    <w:p>
      <w:pPr>
        <w:pStyle w:val="ListBullet"/>
        <w:spacing w:after="80" w:line="300" w:lineRule="auto"/>
      </w:pPr>
      <w:r>
        <w:rPr>
          <w:rFonts w:ascii="Calibri" w:hAnsi="Calibri"/>
          <w:color w:val="000000"/>
          <w:sz w:val="22"/>
        </w:rPr>
        <w:t>EU GMP Annex 15: Qualification and Validation (2015)</w:t>
      </w:r>
    </w:p>
    <w:p>
      <w:pPr>
        <w:pStyle w:val="ListBullet"/>
        <w:spacing w:after="80" w:line="300" w:lineRule="auto"/>
      </w:pPr>
      <w:r>
        <w:rPr>
          <w:rFonts w:ascii="Calibri" w:hAnsi="Calibri"/>
          <w:color w:val="000000"/>
          <w:sz w:val="22"/>
        </w:rPr>
        <w:t>21 CFR Part 11: Electronic Records; Electronic Signatures</w:t>
      </w:r>
    </w:p>
    <w:p>
      <w:pPr>
        <w:pStyle w:val="ListBullet"/>
        <w:spacing w:after="80" w:line="300" w:lineRule="auto"/>
      </w:pPr>
      <w:r>
        <w:rPr>
          <w:rFonts w:ascii="Calibri" w:hAnsi="Calibri"/>
          <w:color w:val="000000"/>
          <w:sz w:val="22"/>
        </w:rPr>
        <w:t>FDA Guidance: Part 11, Electronic Records; Electronic Signatures — Scope and Application</w:t>
      </w:r>
    </w:p>
    <w:p>
      <w:pPr>
        <w:pStyle w:val="ListBullet"/>
        <w:spacing w:after="80" w:line="300" w:lineRule="auto"/>
      </w:pPr>
      <w:r>
        <w:rPr>
          <w:rFonts w:ascii="Calibri" w:hAnsi="Calibri"/>
          <w:color w:val="000000"/>
          <w:sz w:val="22"/>
        </w:rPr>
        <w:t>PIC/S PI 041-1: Good Practices for Data Management and Integrity in Regulated GMP/GDP Environments (2021)</w:t>
      </w:r>
    </w:p>
    <w:p>
      <w:pPr>
        <w:pStyle w:val="ListBullet"/>
        <w:spacing w:after="80" w:line="300" w:lineRule="auto"/>
      </w:pPr>
      <w:r>
        <w:rPr>
          <w:rFonts w:ascii="Calibri" w:hAnsi="Calibri"/>
          <w:color w:val="000000"/>
          <w:sz w:val="22"/>
        </w:rPr>
        <w:t>ISPE GAMP 5, Second Edition (2022), used as non-binding industry guidance</w:t>
      </w:r>
    </w:p>
    <w:p>
      <w:pPr>
        <w:pStyle w:val="Heading1"/>
      </w:pPr>
      <w:r>
        <w:t>1. Purpose</w:t>
      </w:r>
    </w:p>
    <w:p>
      <w:pPr>
        <w:spacing w:after="120" w:line="300" w:lineRule="auto"/>
      </w:pPr>
      <w:r>
        <w:rPr>
          <w:rFonts w:ascii="Calibri" w:hAnsi="Calibri"/>
          <w:b w:val="0"/>
          <w:i w:val="0"/>
          <w:color w:val="000000"/>
          <w:sz w:val="22"/>
        </w:rPr>
        <w:t>This inventory is the controlled site register for systems supporting the QCLabOne 2.0 process. It records ownership, GxP impact, validation state and lifecycle status. The full site inventory is maintained in the eQMS; the table below is the approved project-relevant extract.</w:t>
      </w:r>
    </w:p>
    <w:p>
      <w:pPr>
        <w:pStyle w:val="Heading1"/>
      </w:pPr>
      <w:r>
        <w:t>2. Inclusion criteria</w:t>
      </w:r>
    </w:p>
    <w:p>
      <w:pPr>
        <w:spacing w:after="120" w:line="300" w:lineRule="auto"/>
      </w:pPr>
      <w:r>
        <w:rPr>
          <w:rFonts w:ascii="Calibri" w:hAnsi="Calibri"/>
          <w:b w:val="0"/>
          <w:i w:val="0"/>
          <w:color w:val="000000"/>
          <w:sz w:val="22"/>
        </w:rPr>
        <w:t>A component is included when it creates, modifies, calculates, transmits, approves, reports, archives or retrieves GMP data; controls identity or access; provides qualified infrastructure; or must be retained/retired as part of the regulated process.</w:t>
      </w:r>
    </w:p>
    <w:p>
      <w:pPr>
        <w:pStyle w:val="Heading1"/>
      </w:pPr>
      <w:r>
        <w:t>3. Inventory register</w:t>
      </w:r>
    </w:p>
    <w:tbl>
      <w:tblPr>
        <w:tblStyle w:val="TableGrid"/>
        <w:tblW w:type="dxa" w:w="9360"/>
        <w:tblLayout w:type="fixed"/>
        <w:tblLook w:firstColumn="1" w:firstRow="1" w:lastColumn="0" w:lastRow="0" w:noHBand="0" w:noVBand="1" w:val="04A0"/>
        <w:tblInd w:w="120" w:type="dxa"/>
      </w:tblPr>
      <w:tblGrid>
        <w:gridCol w:w="720"/>
        <w:gridCol w:w="1539"/>
        <w:gridCol w:w="720"/>
        <w:gridCol w:w="1497"/>
        <w:gridCol w:w="1331"/>
        <w:gridCol w:w="832"/>
        <w:gridCol w:w="998"/>
        <w:gridCol w:w="1723"/>
      </w:tblGrid>
      <w:tr>
        <w:trPr>
          <w:tblHeader w:val="true"/>
        </w:trPr>
        <w:tc>
          <w:tcPr>
            <w:tcW w:type="dxa" w:w="720"/>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5"/>
              </w:rPr>
              <w:t>ID</w:t>
            </w:r>
          </w:p>
        </w:tc>
        <w:tc>
          <w:tcPr>
            <w:tcW w:type="dxa" w:w="1539"/>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System/component</w:t>
            </w:r>
          </w:p>
        </w:tc>
        <w:tc>
          <w:tcPr>
            <w:tcW w:type="dxa" w:w="720"/>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5"/>
              </w:rPr>
              <w:t>Version</w:t>
            </w:r>
          </w:p>
        </w:tc>
        <w:tc>
          <w:tcPr>
            <w:tcW w:type="dxa" w:w="1497"/>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Type</w:t>
            </w:r>
          </w:p>
        </w:tc>
        <w:tc>
          <w:tcPr>
            <w:tcW w:type="dxa" w:w="133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Hosting/location</w:t>
            </w:r>
          </w:p>
        </w:tc>
        <w:tc>
          <w:tcPr>
            <w:tcW w:type="dxa" w:w="83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GxP impact</w:t>
            </w:r>
          </w:p>
        </w:tc>
        <w:tc>
          <w:tcPr>
            <w:tcW w:type="dxa" w:w="99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Owner</w:t>
            </w:r>
          </w:p>
        </w:tc>
        <w:tc>
          <w:tcPr>
            <w:tcW w:type="dxa" w:w="1723"/>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Validation/lifecycle state</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SYS-001</w:t>
            </w:r>
          </w:p>
        </w:tc>
        <w:tc>
          <w:tcPr>
            <w:tcW w:type="dxa" w:w="1539"/>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QCLabOne 2.0 LIMS/LES</w:t>
            </w:r>
          </w:p>
        </w:tc>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LabSphere LIMS/LES 8.4.2</w:t>
            </w:r>
          </w:p>
        </w:tc>
        <w:tc>
          <w:tcPr>
            <w:tcW w:type="dxa" w:w="149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Configurable application</w:t>
            </w:r>
          </w:p>
        </w:tc>
        <w:tc>
          <w:tcPr>
            <w:tcW w:type="dxa" w:w="1331"/>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Vendor private cloud</w:t>
            </w:r>
          </w:p>
        </w:tc>
        <w:tc>
          <w:tcPr>
            <w:tcW w:type="dxa" w:w="832"/>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High</w:t>
            </w:r>
          </w:p>
        </w:tc>
        <w:tc>
          <w:tcPr>
            <w:tcW w:type="dxa" w:w="99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QC System Owner</w:t>
            </w:r>
          </w:p>
        </w:tc>
        <w:tc>
          <w:tcPr>
            <w:tcW w:type="dxa" w:w="172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In validation / Production from 2027-06-15</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SYS-002</w:t>
            </w:r>
          </w:p>
        </w:tc>
        <w:tc>
          <w:tcPr>
            <w:tcW w:type="dxa" w:w="1539"/>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QCL-IGW-01 Interface Gateway</w:t>
            </w:r>
          </w:p>
        </w:tc>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Gateway 3.6.1</w:t>
            </w:r>
          </w:p>
        </w:tc>
        <w:tc>
          <w:tcPr>
            <w:tcW w:type="dxa" w:w="149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Custom integration + infrastructure</w:t>
            </w:r>
          </w:p>
        </w:tc>
        <w:tc>
          <w:tcPr>
            <w:tcW w:type="dxa" w:w="1331"/>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On-site virtual server</w:t>
            </w:r>
          </w:p>
        </w:tc>
        <w:tc>
          <w:tcPr>
            <w:tcW w:type="dxa" w:w="832"/>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High</w:t>
            </w:r>
          </w:p>
        </w:tc>
        <w:tc>
          <w:tcPr>
            <w:tcW w:type="dxa" w:w="99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IT System Owner</w:t>
            </w:r>
          </w:p>
        </w:tc>
        <w:tc>
          <w:tcPr>
            <w:tcW w:type="dxa" w:w="172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Qualified</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SYS-003</w:t>
            </w:r>
          </w:p>
        </w:tc>
        <w:tc>
          <w:tcPr>
            <w:tcW w:type="dxa" w:w="1539"/>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SAP S/4HANA QC Interface</w:t>
            </w:r>
          </w:p>
        </w:tc>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SAP S/4HANA 2023</w:t>
            </w:r>
          </w:p>
        </w:tc>
        <w:tc>
          <w:tcPr>
            <w:tcW w:type="dxa" w:w="149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Existing validated enterprise system</w:t>
            </w:r>
          </w:p>
        </w:tc>
        <w:tc>
          <w:tcPr>
            <w:tcW w:type="dxa" w:w="1331"/>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Corporate data centre</w:t>
            </w:r>
          </w:p>
        </w:tc>
        <w:tc>
          <w:tcPr>
            <w:tcW w:type="dxa" w:w="832"/>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High</w:t>
            </w:r>
          </w:p>
        </w:tc>
        <w:tc>
          <w:tcPr>
            <w:tcW w:type="dxa" w:w="99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ERP Process Owner</w:t>
            </w:r>
          </w:p>
        </w:tc>
        <w:tc>
          <w:tcPr>
            <w:tcW w:type="dxa" w:w="172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Validated; interface impact assessed</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SYS-004</w:t>
            </w:r>
          </w:p>
        </w:tc>
        <w:tc>
          <w:tcPr>
            <w:tcW w:type="dxa" w:w="1539"/>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QualiTrack eQMS Interface</w:t>
            </w:r>
          </w:p>
        </w:tc>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QualiTrack 5.6</w:t>
            </w:r>
          </w:p>
        </w:tc>
        <w:tc>
          <w:tcPr>
            <w:tcW w:type="dxa" w:w="149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Existing validated quality system</w:t>
            </w:r>
          </w:p>
        </w:tc>
        <w:tc>
          <w:tcPr>
            <w:tcW w:type="dxa" w:w="1331"/>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Corporate private cloud</w:t>
            </w:r>
          </w:p>
        </w:tc>
        <w:tc>
          <w:tcPr>
            <w:tcW w:type="dxa" w:w="832"/>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High</w:t>
            </w:r>
          </w:p>
        </w:tc>
        <w:tc>
          <w:tcPr>
            <w:tcW w:type="dxa" w:w="99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QA Process Owner</w:t>
            </w:r>
          </w:p>
        </w:tc>
        <w:tc>
          <w:tcPr>
            <w:tcW w:type="dxa" w:w="172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Validated; interface impact assessed</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SYS-005</w:t>
            </w:r>
          </w:p>
        </w:tc>
        <w:tc>
          <w:tcPr>
            <w:tcW w:type="dxa" w:w="1539"/>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ChromLink CDS/SDMS Result Interface</w:t>
            </w:r>
          </w:p>
        </w:tc>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ChromLink 7.2</w:t>
            </w:r>
          </w:p>
        </w:tc>
        <w:tc>
          <w:tcPr>
            <w:tcW w:type="dxa" w:w="149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Existing validated laboratory system</w:t>
            </w:r>
          </w:p>
        </w:tc>
        <w:tc>
          <w:tcPr>
            <w:tcW w:type="dxa" w:w="1331"/>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On-site data centre</w:t>
            </w:r>
          </w:p>
        </w:tc>
        <w:tc>
          <w:tcPr>
            <w:tcW w:type="dxa" w:w="832"/>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High</w:t>
            </w:r>
          </w:p>
        </w:tc>
        <w:tc>
          <w:tcPr>
            <w:tcW w:type="dxa" w:w="99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QC Data Owner</w:t>
            </w:r>
          </w:p>
        </w:tc>
        <w:tc>
          <w:tcPr>
            <w:tcW w:type="dxa" w:w="172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Validated; interface tested</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SYS-006</w:t>
            </w:r>
          </w:p>
        </w:tc>
        <w:tc>
          <w:tcPr>
            <w:tcW w:type="dxa" w:w="1539"/>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Corporate Identity Service</w:t>
            </w:r>
          </w:p>
        </w:tc>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AD FS 2022</w:t>
            </w:r>
          </w:p>
        </w:tc>
        <w:tc>
          <w:tcPr>
            <w:tcW w:type="dxa" w:w="149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Qualified infrastructure</w:t>
            </w:r>
          </w:p>
        </w:tc>
        <w:tc>
          <w:tcPr>
            <w:tcW w:type="dxa" w:w="1331"/>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Corporate data centre</w:t>
            </w:r>
          </w:p>
        </w:tc>
        <w:tc>
          <w:tcPr>
            <w:tcW w:type="dxa" w:w="832"/>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Medium</w:t>
            </w:r>
          </w:p>
        </w:tc>
        <w:tc>
          <w:tcPr>
            <w:tcW w:type="dxa" w:w="99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IT Security Owner</w:t>
            </w:r>
          </w:p>
        </w:tc>
        <w:tc>
          <w:tcPr>
            <w:tcW w:type="dxa" w:w="172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Qualified</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SYS-007</w:t>
            </w:r>
          </w:p>
        </w:tc>
        <w:tc>
          <w:tcPr>
            <w:tcW w:type="dxa" w:w="1539"/>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Legacy LIMS 6.2</w:t>
            </w:r>
          </w:p>
        </w:tc>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Legacy LIMS 6.2 / Oracle 12c</w:t>
            </w:r>
          </w:p>
        </w:tc>
        <w:tc>
          <w:tcPr>
            <w:tcW w:type="dxa" w:w="149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Legacy configurable application</w:t>
            </w:r>
          </w:p>
        </w:tc>
        <w:tc>
          <w:tcPr>
            <w:tcW w:type="dxa" w:w="1331"/>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On-site data centre</w:t>
            </w:r>
          </w:p>
        </w:tc>
        <w:tc>
          <w:tcPr>
            <w:tcW w:type="dxa" w:w="832"/>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High</w:t>
            </w:r>
          </w:p>
        </w:tc>
        <w:tc>
          <w:tcPr>
            <w:tcW w:type="dxa" w:w="99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Legacy System Owner</w:t>
            </w:r>
          </w:p>
        </w:tc>
        <w:tc>
          <w:tcPr>
            <w:tcW w:type="dxa" w:w="172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Read-only; retirement planned</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SYS-008</w:t>
            </w:r>
          </w:p>
        </w:tc>
        <w:tc>
          <w:tcPr>
            <w:tcW w:type="dxa" w:w="1539"/>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Controlled QC Excel Registers</w:t>
            </w:r>
          </w:p>
        </w:tc>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Office LTSC 2021</w:t>
            </w:r>
          </w:p>
        </w:tc>
        <w:tc>
          <w:tcPr>
            <w:tcW w:type="dxa" w:w="149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User-developed applications</w:t>
            </w:r>
          </w:p>
        </w:tc>
        <w:tc>
          <w:tcPr>
            <w:tcW w:type="dxa" w:w="1331"/>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Controlled file share</w:t>
            </w:r>
          </w:p>
        </w:tc>
        <w:tc>
          <w:tcPr>
            <w:tcW w:type="dxa" w:w="832"/>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Medium/High by use</w:t>
            </w:r>
          </w:p>
        </w:tc>
        <w:tc>
          <w:tcPr>
            <w:tcW w:type="dxa" w:w="99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QC Process Owners</w:t>
            </w:r>
          </w:p>
        </w:tc>
        <w:tc>
          <w:tcPr>
            <w:tcW w:type="dxa" w:w="172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Replacement/archival in progress</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SYS-009</w:t>
            </w:r>
          </w:p>
        </w:tc>
        <w:tc>
          <w:tcPr>
            <w:tcW w:type="dxa" w:w="1539"/>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Long-Term Archive Repository</w:t>
            </w:r>
          </w:p>
        </w:tc>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ArchiveVault 4.1</w:t>
            </w:r>
          </w:p>
        </w:tc>
        <w:tc>
          <w:tcPr>
            <w:tcW w:type="dxa" w:w="149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Configurable archive service</w:t>
            </w:r>
          </w:p>
        </w:tc>
        <w:tc>
          <w:tcPr>
            <w:tcW w:type="dxa" w:w="1331"/>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Vendor private cloud</w:t>
            </w:r>
          </w:p>
        </w:tc>
        <w:tc>
          <w:tcPr>
            <w:tcW w:type="dxa" w:w="832"/>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High</w:t>
            </w:r>
          </w:p>
        </w:tc>
        <w:tc>
          <w:tcPr>
            <w:tcW w:type="dxa" w:w="99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Records Management Owner</w:t>
            </w:r>
          </w:p>
        </w:tc>
        <w:tc>
          <w:tcPr>
            <w:tcW w:type="dxa" w:w="172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Qualified</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SYS-010</w:t>
            </w:r>
          </w:p>
        </w:tc>
        <w:tc>
          <w:tcPr>
            <w:tcW w:type="dxa" w:w="1539"/>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Veeam Backup Platform</w:t>
            </w:r>
          </w:p>
        </w:tc>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Veeam 12.1</w:t>
            </w:r>
          </w:p>
        </w:tc>
        <w:tc>
          <w:tcPr>
            <w:tcW w:type="dxa" w:w="149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Qualified infrastructure</w:t>
            </w:r>
          </w:p>
        </w:tc>
        <w:tc>
          <w:tcPr>
            <w:tcW w:type="dxa" w:w="1331"/>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On-site DR centre</w:t>
            </w:r>
          </w:p>
        </w:tc>
        <w:tc>
          <w:tcPr>
            <w:tcW w:type="dxa" w:w="832"/>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High support</w:t>
            </w:r>
          </w:p>
        </w:tc>
        <w:tc>
          <w:tcPr>
            <w:tcW w:type="dxa" w:w="99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IT Infrastructure Owner</w:t>
            </w:r>
          </w:p>
        </w:tc>
        <w:tc>
          <w:tcPr>
            <w:tcW w:type="dxa" w:w="172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Qualified</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SYS-011</w:t>
            </w:r>
          </w:p>
        </w:tc>
        <w:tc>
          <w:tcPr>
            <w:tcW w:type="dxa" w:w="1539"/>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Laboratory Balances/pH/TOC Interfaces</w:t>
            </w:r>
          </w:p>
        </w:tc>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24 devices, model list in ICS</w:t>
            </w:r>
          </w:p>
        </w:tc>
        <w:tc>
          <w:tcPr>
            <w:tcW w:type="dxa" w:w="149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Instrument interfaces</w:t>
            </w:r>
          </w:p>
        </w:tc>
        <w:tc>
          <w:tcPr>
            <w:tcW w:type="dxa" w:w="1331"/>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QC laboratories</w:t>
            </w:r>
          </w:p>
        </w:tc>
        <w:tc>
          <w:tcPr>
            <w:tcW w:type="dxa" w:w="832"/>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High</w:t>
            </w:r>
          </w:p>
        </w:tc>
        <w:tc>
          <w:tcPr>
            <w:tcW w:type="dxa" w:w="99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QC Instrument Owner</w:t>
            </w:r>
          </w:p>
        </w:tc>
        <w:tc>
          <w:tcPr>
            <w:tcW w:type="dxa" w:w="172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Qualified/interface tested</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SYS-012</w:t>
            </w:r>
          </w:p>
        </w:tc>
        <w:tc>
          <w:tcPr>
            <w:tcW w:type="dxa" w:w="1539"/>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Barcode Printers and Scanners</w:t>
            </w:r>
          </w:p>
        </w:tc>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18 printers, 42 scanners</w:t>
            </w:r>
          </w:p>
        </w:tc>
        <w:tc>
          <w:tcPr>
            <w:tcW w:type="dxa" w:w="149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Peripheral devices</w:t>
            </w:r>
          </w:p>
        </w:tc>
        <w:tc>
          <w:tcPr>
            <w:tcW w:type="dxa" w:w="1331"/>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QC laboratories</w:t>
            </w:r>
          </w:p>
        </w:tc>
        <w:tc>
          <w:tcPr>
            <w:tcW w:type="dxa" w:w="832"/>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Medium</w:t>
            </w:r>
          </w:p>
        </w:tc>
        <w:tc>
          <w:tcPr>
            <w:tcW w:type="dxa" w:w="998"/>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QC Operations Owner</w:t>
            </w:r>
          </w:p>
        </w:tc>
        <w:tc>
          <w:tcPr>
            <w:tcW w:type="dxa" w:w="172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Verified</w:t>
            </w:r>
          </w:p>
        </w:tc>
      </w:tr>
    </w:tbl>
    <w:p>
      <w:pPr>
        <w:spacing w:after="80"/>
      </w:pPr>
    </w:p>
    <w:p>
      <w:pPr>
        <w:spacing w:after="120" w:line="300" w:lineRule="auto"/>
      </w:pPr>
      <w:r>
        <w:rPr>
          <w:rFonts w:ascii="Calibri" w:hAnsi="Calibri"/>
          <w:b w:val="0"/>
          <w:i w:val="0"/>
          <w:color w:val="000000"/>
          <w:sz w:val="22"/>
        </w:rPr>
        <w:t>The controlled eQMS inventory record also maintains the supplier, business-process owner, technical owner, data owner, validation package location, official-record status, critical data handled, interfaces, hosting region, RTO/RPO tier, backup owner, last review date, next review date and retirement trigger. These attributes are not repeated in full in this project extract but are required for operational control.</w:t>
      </w:r>
    </w:p>
    <w:p>
      <w:pPr>
        <w:pStyle w:val="Heading1"/>
      </w:pPr>
      <w:r>
        <w:t>4. Review and maintenance</w:t>
      </w:r>
    </w:p>
    <w:p>
      <w:pPr>
        <w:spacing w:after="120" w:line="300" w:lineRule="auto"/>
      </w:pPr>
      <w:r>
        <w:rPr>
          <w:rFonts w:ascii="Calibri" w:hAnsi="Calibri"/>
          <w:b w:val="0"/>
          <w:i w:val="0"/>
          <w:color w:val="000000"/>
          <w:sz w:val="22"/>
        </w:rPr>
        <w:t>The System Owner shall update the inventory after implementation, version change, hosting change, new interface, change of intended use, ownership transfer, periodic review or retirement. The next formal review for high-impact entries is due 2028-03-15 unless an earlier trigger occurs.</w:t>
      </w:r>
    </w:p>
    <w:p>
      <w:pPr>
        <w:spacing w:after="120" w:line="300" w:lineRule="auto"/>
      </w:pPr>
      <w:r>
        <w:rPr>
          <w:rFonts w:ascii="Calibri" w:hAnsi="Calibri"/>
          <w:b w:val="0"/>
          <w:i w:val="0"/>
          <w:color w:val="000000"/>
          <w:sz w:val="22"/>
        </w:rPr>
        <w:t>Inventory updates are quality-impact assessed before approval. A new or changed entry shall not be marked "validated" unless the validation package, release approval, effective SOPs, trained users and operational support model are available. Retired systems remain listed until records are no longer required or are transferred to an approved archive with retrieval evidence.</w:t>
      </w:r>
    </w:p>
    <w:p>
      <w:pPr>
        <w:pStyle w:val="Heading1"/>
      </w:pPr>
      <w:r>
        <w:t>5. Key decisions</w:t>
      </w:r>
    </w:p>
    <w:p>
      <w:pPr>
        <w:pStyle w:val="ListBullet"/>
        <w:spacing w:after="80" w:line="300" w:lineRule="auto"/>
      </w:pPr>
      <w:r>
        <w:rPr>
          <w:rFonts w:ascii="Calibri" w:hAnsi="Calibri"/>
          <w:color w:val="000000"/>
          <w:sz w:val="22"/>
        </w:rPr>
        <w:t>QCLabOne is the official record system for sample metadata, LES execution, calculations, review/approval, audit trails and controlled reports.</w:t>
      </w:r>
    </w:p>
    <w:p>
      <w:pPr>
        <w:pStyle w:val="ListBullet"/>
        <w:spacing w:after="80" w:line="300" w:lineRule="auto"/>
      </w:pPr>
      <w:r>
        <w:rPr>
          <w:rFonts w:ascii="Calibri" w:hAnsi="Calibri"/>
          <w:color w:val="000000"/>
          <w:sz w:val="22"/>
        </w:rPr>
        <w:t>ChromLink CDS/SDMS remains the official source for chromatographic raw and processed source data. QCLabOne stores approved numerical results and a stable source link.</w:t>
      </w:r>
    </w:p>
    <w:p>
      <w:pPr>
        <w:pStyle w:val="ListBullet"/>
        <w:spacing w:after="80" w:line="300" w:lineRule="auto"/>
      </w:pPr>
      <w:r>
        <w:rPr>
          <w:rFonts w:ascii="Calibri" w:hAnsi="Calibri"/>
          <w:color w:val="000000"/>
          <w:sz w:val="22"/>
        </w:rPr>
        <w:t>ArchiveVault is the official long-term source for retired Legacy LIMS records and later archived closed records.</w:t>
      </w:r>
    </w:p>
    <w:p>
      <w:pPr>
        <w:pStyle w:val="ListBullet"/>
        <w:spacing w:after="80" w:line="300" w:lineRule="auto"/>
      </w:pPr>
      <w:r>
        <w:rPr>
          <w:rFonts w:ascii="Calibri" w:hAnsi="Calibri"/>
          <w:color w:val="000000"/>
          <w:sz w:val="22"/>
        </w:rPr>
        <w:t>Excel registers are assessed individually; no blanket “medium” classification is permitted.</w:t>
      </w:r>
    </w:p>
    <w:p>
      <w:pPr>
        <w:pStyle w:val="ListBullet"/>
        <w:spacing w:after="80" w:line="300" w:lineRule="auto"/>
      </w:pPr>
      <w:r>
        <w:rPr>
          <w:rFonts w:ascii="Calibri" w:hAnsi="Calibri"/>
          <w:color w:val="000000"/>
          <w:sz w:val="22"/>
        </w:rPr>
        <w:t>Identity and backup platforms are supporting infrastructure but are included because failure could compromise high-impact applications.</w:t>
      </w:r>
    </w:p>
    <w:p>
      <w:pPr>
        <w:pStyle w:val="Heading1"/>
      </w:pPr>
      <w:r>
        <w:t>6. Inventory control checks</w:t>
      </w:r>
    </w:p>
    <w:tbl>
      <w:tblPr>
        <w:tblStyle w:val="TableGrid"/>
        <w:tblW w:type="dxa" w:w="9360"/>
        <w:tblLayout w:type="fixed"/>
        <w:tblLook w:firstColumn="1" w:firstRow="1" w:lastColumn="0" w:lastRow="0" w:noHBand="0" w:noVBand="1" w:val="04A0"/>
        <w:tblInd w:w="120" w:type="dxa"/>
      </w:tblPr>
      <w:tblGrid>
        <w:gridCol w:w="2674"/>
        <w:gridCol w:w="6686"/>
      </w:tblGrid>
      <w:tr>
        <w:trPr>
          <w:tblHeader w:val="true"/>
        </w:trPr>
        <w:tc>
          <w:tcPr>
            <w:tcW w:type="dxa" w:w="267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Check</w:t>
            </w:r>
          </w:p>
        </w:tc>
        <w:tc>
          <w:tcPr>
            <w:tcW w:type="dxa" w:w="668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Acceptance expectation</w:t>
            </w:r>
          </w:p>
        </w:tc>
      </w:tr>
      <w:tr>
        <w:tc>
          <w:tcPr>
            <w:tcW w:type="dxa" w:w="26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Ownership</w:t>
            </w:r>
          </w:p>
        </w:tc>
        <w:tc>
          <w:tcPr>
            <w:tcW w:type="dxa" w:w="66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Each GxP entry has one accountable System Owner and one Process Owner or Data Owner</w:t>
            </w:r>
          </w:p>
        </w:tc>
      </w:tr>
      <w:tr>
        <w:tc>
          <w:tcPr>
            <w:tcW w:type="dxa" w:w="26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Validation state</w:t>
            </w:r>
          </w:p>
        </w:tc>
        <w:tc>
          <w:tcPr>
            <w:tcW w:type="dxa" w:w="66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Lifecycle state matches the approved validation/release/retirement evidence</w:t>
            </w:r>
          </w:p>
        </w:tc>
      </w:tr>
      <w:tr>
        <w:tc>
          <w:tcPr>
            <w:tcW w:type="dxa" w:w="26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Interface completeness</w:t>
            </w:r>
          </w:p>
        </w:tc>
        <w:tc>
          <w:tcPr>
            <w:tcW w:type="dxa" w:w="66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All GxP data exchanges are represented in the interface specification or formally excluded</w:t>
            </w:r>
          </w:p>
        </w:tc>
      </w:tr>
      <w:tr>
        <w:tc>
          <w:tcPr>
            <w:tcW w:type="dxa" w:w="26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Review timeliness</w:t>
            </w:r>
          </w:p>
        </w:tc>
        <w:tc>
          <w:tcPr>
            <w:tcW w:type="dxa" w:w="66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High-impact entries are reviewed at least annually or after a significant trigger</w:t>
            </w:r>
          </w:p>
        </w:tc>
      </w:tr>
      <w:tr>
        <w:tc>
          <w:tcPr>
            <w:tcW w:type="dxa" w:w="26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Archive linkage</w:t>
            </w:r>
          </w:p>
        </w:tc>
        <w:tc>
          <w:tcPr>
            <w:tcW w:type="dxa" w:w="66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Retired or read-only systems identify the archive location and retrievability evidence</w:t>
            </w:r>
          </w:p>
        </w:tc>
      </w:tr>
    </w:tbl>
    <w:p>
      <w:pPr>
        <w:spacing w:after="80"/>
      </w:pPr>
    </w:p>
    <w:p>
      <w:pPr>
        <w:pStyle w:val="Heading1"/>
      </w:pPr>
      <w:r>
        <w:t>7. Related documents</w:t>
      </w:r>
    </w:p>
    <w:tbl>
      <w:tblPr>
        <w:tblStyle w:val="TableGrid"/>
        <w:tblW w:type="dxa" w:w="9360"/>
        <w:tblLayout w:type="fixed"/>
        <w:tblLook w:firstColumn="1" w:firstRow="1" w:lastColumn="0" w:lastRow="0" w:noHBand="0" w:noVBand="1" w:val="04A0"/>
        <w:tblInd w:w="120" w:type="dxa"/>
      </w:tblPr>
      <w:tblGrid>
        <w:gridCol w:w="2224"/>
        <w:gridCol w:w="2038"/>
        <w:gridCol w:w="5098"/>
      </w:tblGrid>
      <w:tr>
        <w:trPr>
          <w:tblHeader w:val="true"/>
        </w:trPr>
        <w:tc>
          <w:tcPr>
            <w:tcW w:type="dxa" w:w="222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Relationship</w:t>
            </w:r>
          </w:p>
        </w:tc>
        <w:tc>
          <w:tcPr>
            <w:tcW w:type="dxa" w:w="203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 ID</w:t>
            </w:r>
          </w:p>
        </w:tc>
        <w:tc>
          <w:tcPr>
            <w:tcW w:type="dxa" w:w="509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SOP-CSV-001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 Computerised System Lifecycle Management Procedure](001_CSV_Lifecycle_Management_Procedure.md)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VMP-SZ-001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 Validation Master Plan](002_Validation_Master_Plan.md)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QCL-2026-GXP-001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GxP Impact Assessment](009_GxP_Impact_Assessment.md)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QCL-2026-CLA-001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Classification and Criticality Assessment](010_System_Classification_and_Criticality_Assessment.md)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QCL-2028-PRR-001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[Annual Periodic Review Report](092_Annual_Periodic_Review_Report.md)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CSI-SZ-001-CHG-2028-03</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[Computerised System Inventory Update—Retired Status](107_Computerised_System_Inventory_Update_Retired_Status.md)</w:t>
            </w:r>
          </w:p>
        </w:tc>
      </w:tr>
    </w:tbl>
    <w:p>
      <w:pPr>
        <w:spacing w:after="80"/>
      </w:pPr>
    </w:p>
    <w:p>
      <w:pPr>
        <w:pStyle w:val="Heading1"/>
      </w:pPr>
      <w:r>
        <w:t>Approval record</w:t>
      </w:r>
    </w:p>
    <w:tbl>
      <w:tblPr>
        <w:tblStyle w:val="TableGrid"/>
        <w:tblW w:type="dxa" w:w="9360"/>
        <w:tblLayout w:type="fixed"/>
        <w:tblLook w:firstColumn="1" w:firstRow="1" w:lastColumn="0" w:lastRow="0" w:noHBand="0" w:noVBand="1" w:val="04A0"/>
        <w:tblInd w:w="120" w:type="dxa"/>
      </w:tblPr>
      <w:tblGrid>
        <w:gridCol w:w="3333"/>
        <w:gridCol w:w="2692"/>
        <w:gridCol w:w="3335"/>
      </w:tblGrid>
      <w:tr>
        <w:trPr>
          <w:tblHeader w:val="true"/>
        </w:trPr>
        <w:tc>
          <w:tcPr>
            <w:tcW w:type="dxa" w:w="3333"/>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Approval step</w:t>
            </w:r>
          </w:p>
        </w:tc>
        <w:tc>
          <w:tcPr>
            <w:tcW w:type="dxa" w:w="269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Role</w:t>
            </w:r>
          </w:p>
        </w:tc>
        <w:tc>
          <w:tcPr>
            <w:tcW w:type="dxa" w:w="3335"/>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Case outcome</w:t>
            </w:r>
          </w:p>
        </w:tc>
      </w:tr>
      <w:tr>
        <w:tc>
          <w:tcPr>
            <w:tcW w:type="dxa" w:w="33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Prepared by</w:t>
            </w:r>
          </w:p>
        </w:tc>
        <w:tc>
          <w:tcPr>
            <w:tcW w:type="dxa" w:w="269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CSV Program Lead</w:t>
            </w:r>
          </w:p>
        </w:tc>
        <w:tc>
          <w:tcPr>
            <w:tcW w:type="dxa" w:w="333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3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Reviewed by</w:t>
            </w:r>
          </w:p>
        </w:tc>
        <w:tc>
          <w:tcPr>
            <w:tcW w:type="dxa" w:w="269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QA Validation Manager</w:t>
            </w:r>
          </w:p>
        </w:tc>
        <w:tc>
          <w:tcPr>
            <w:tcW w:type="dxa" w:w="333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3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by</w:t>
            </w:r>
          </w:p>
        </w:tc>
        <w:tc>
          <w:tcPr>
            <w:tcW w:type="dxa" w:w="269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 Quality Head</w:t>
            </w:r>
          </w:p>
        </w:tc>
        <w:tc>
          <w:tcPr>
            <w:tcW w:type="dxa" w:w="333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Revision history</w:t>
      </w:r>
    </w:p>
    <w:tbl>
      <w:tblPr>
        <w:tblStyle w:val="TableGrid"/>
        <w:tblW w:type="dxa" w:w="9360"/>
        <w:tblLayout w:type="fixed"/>
        <w:tblLook w:firstColumn="1" w:firstRow="1" w:lastColumn="0" w:lastRow="0" w:noHBand="0" w:noVBand="1" w:val="04A0"/>
        <w:tblInd w:w="120" w:type="dxa"/>
      </w:tblPr>
      <w:tblGrid>
        <w:gridCol w:w="2047"/>
        <w:gridCol w:w="1462"/>
        <w:gridCol w:w="5851"/>
      </w:tblGrid>
      <w:tr>
        <w:trPr>
          <w:tblHeader w:val="true"/>
        </w:trPr>
        <w:tc>
          <w:tcPr>
            <w:tcW w:type="dxa" w:w="2047"/>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Version</w:t>
            </w:r>
          </w:p>
        </w:tc>
        <w:tc>
          <w:tcPr>
            <w:tcW w:type="dxa" w:w="1462"/>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Date</w:t>
            </w:r>
          </w:p>
        </w:tc>
        <w:tc>
          <w:tcPr>
            <w:tcW w:type="dxa" w:w="585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Change</w:t>
            </w:r>
          </w:p>
        </w:tc>
      </w:tr>
      <w:tr>
        <w:tc>
          <w:tcPr>
            <w:tcW w:type="dxa" w:w="2047"/>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1.0</w:t>
            </w:r>
          </w:p>
        </w:tc>
        <w:tc>
          <w:tcPr>
            <w:tcW w:type="dxa" w:w="1462"/>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2026-01-15</w:t>
            </w:r>
          </w:p>
        </w:tc>
        <w:tc>
          <w:tcPr>
            <w:tcW w:type="dxa" w:w="58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Initial approved fictional case version.</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7"/>
      </w:rPr>
      <w:t xml:space="preserve">CSI-SZ-001 | Version 1.0 | Approved in fictional case | Page </w:t>
    </w:r>
    <w:r>
      <w:fldChar w:fldCharType="begin"/>
    </w:r>
    <w:r>
      <w:instrText xml:space="preserve"> PAGE </w:instrText>
    </w:r>
    <w:r>
      <w:fldChar w:fldCharType="separate"/>
    </w:r>
    <w:r>
      <w:rPr>
        <w:rFonts w:ascii="Calibri" w:hAnsi="Calibri"/>
        <w:color w:val="595959"/>
        <w:sz w:val="18"/>
      </w:rPr>
      <w:t>1</w:t>
    </w:r>
    <w:r>
      <w:fldChar w:fldCharType="end"/>
    </w:r>
    <w:r>
      <w:rPr>
        <w:rFonts w:ascii="Calibri" w:hAnsi="Calibri"/>
        <w:color w:val="595959"/>
        <w:sz w:val="17"/>
      </w:rPr>
      <w:t xml:space="preserve"> of </w:t>
    </w:r>
    <w:r>
      <w:fldChar w:fldCharType="begin"/>
    </w:r>
    <w:r>
      <w:instrText xml:space="preserve"> NUMPAGES </w:instrText>
    </w:r>
    <w:r>
      <w:fldChar w:fldCharType="separate"/>
    </w:r>
    <w:r>
      <w:rPr>
        <w:rFonts w:ascii="Calibri" w:hAnsi="Calibri"/>
        <w:color w:val="595959"/>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95959"/>
        <w:sz w:val="17"/>
      </w:rPr>
      <w:t>QCL-2026 | QCLabOne 2.0 LIMS/LES</w:t>
    </w:r>
    <w:r>
      <w:tab/>
    </w:r>
    <w:r>
      <w:rPr>
        <w:rFonts w:ascii="Calibri" w:hAnsi="Calibri"/>
        <w:color w:val="595959"/>
        <w:sz w:val="17"/>
      </w:rPr>
      <w:t>CSI-SZ-001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Computerised System Inventory</dc:title>
  <dc:subject>GMP CSV controlled-document conversion</dc:subject>
  <dc:creator>CSV108 Markdown DOCX Converter</dc:creator>
  <cp:keywords>CSV, GMP, validation, DOCX, controlled document</cp:keywords>
  <dc:description>Converted from CSV108 Markdown source. Requires site-specific QA review before operational use.</dc:description>
  <cp:lastModifiedBy>CSV108 Markdown DOCX Converter</cp:lastModifiedBy>
  <cp:revision>1</cp:revision>
  <dcterms:created xsi:type="dcterms:W3CDTF">2026-06-19T09:00:00Z</dcterms:created>
  <dcterms:modified xsi:type="dcterms:W3CDTF">2026-06-19T09:00:00Z</dcterms:modified>
  <cp:category>GMP CSV</cp:category>
</cp:coreProperties>
</file>