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595959"/>
          <w:sz w:val="19"/>
        </w:rPr>
        <w:t>GMP CSV Controlled Document</w:t>
      </w:r>
    </w:p>
    <w:p>
      <w:pPr>
        <w:spacing w:after="80"/>
      </w:pPr>
      <w:r>
        <w:rPr>
          <w:rFonts w:ascii="Calibri" w:hAnsi="Calibri"/>
          <w:b/>
          <w:color w:val="0B2545"/>
          <w:sz w:val="44"/>
        </w:rPr>
        <w:t>QCLabOne 2.0 CSV RACI and Responsibilities Matrix</w:t>
      </w:r>
    </w:p>
    <w:p>
      <w:pPr>
        <w:spacing w:after="200"/>
      </w:pPr>
      <w:r>
        <w:rPr>
          <w:rFonts w:ascii="Calibri" w:hAnsi="Calibri"/>
          <w:color w:val="595959"/>
          <w:sz w:val="23"/>
        </w:rPr>
        <w:t>QCLabOne 2.0 QC Laboratory Digital Platform Replacement Project</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Control Field</w:t>
            </w:r>
          </w:p>
        </w:tc>
        <w:tc>
          <w:tcPr>
            <w:tcW w:type="dxa" w:w="666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Value</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Document number</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QCL-2026-RACI-001</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System</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QCLabOne 2.0 LIMS/LES</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Lifecycle phase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CSV Governance</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Version</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1.0</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Effective/record date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2026-01-25</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Status</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Approved in fictional case</w:t>
            </w:r>
          </w:p>
        </w:tc>
      </w:tr>
    </w:tbl>
    <w:p>
      <w:pPr>
        <w:spacing w:after="8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7F9FC"/>
            <w:vAlign w:val="center"/>
            <w:tcMar>
              <w:top w:w="80" w:type="dxa"/>
              <w:bottom w:w="80" w:type="dxa"/>
              <w:start w:w="120" w:type="dxa"/>
              <w:end w:w="120" w:type="dxa"/>
            </w:tcMar>
          </w:tcPr>
          <w:p>
            <w:pPr>
              <w:spacing w:after="0" w:line="276" w:lineRule="auto"/>
            </w:pPr>
            <w:r/>
            <w:r>
              <w:rPr>
                <w:rFonts w:ascii="Calibri" w:hAnsi="Calibri"/>
                <w:b w:val="0"/>
                <w:color w:val="595959"/>
                <w:sz w:val="19"/>
              </w:rPr>
              <w:t>Use notice: This Markdown file is a fully populated fictional CSV training case. It is not an executed GMP record and does not replace company procedures, approved signatures, supplier evidence, or site-specific risk decisions.</w:t>
            </w:r>
          </w:p>
        </w:tc>
      </w:tr>
    </w:tbl>
    <w:p>
      <w:pPr>
        <w:spacing w:after="80"/>
      </w:pPr>
    </w:p>
    <w:p>
      <w:pPr>
        <w:pStyle w:val="Heading1"/>
      </w:pPr>
      <w:r>
        <w:t>Document control</w:t>
      </w:r>
    </w:p>
    <w:tbl>
      <w:tblPr>
        <w:tblStyle w:val="TableGrid"/>
        <w:tblW w:type="dxa" w:w="9360"/>
        <w:tblLayout w:type="fixed"/>
        <w:tblLook w:firstColumn="1" w:firstRow="1" w:lastColumn="0" w:lastRow="0" w:noHBand="0" w:noVBand="1" w:val="04A0"/>
        <w:tblInd w:w="120" w:type="dxa"/>
      </w:tblPr>
      <w:tblGrid>
        <w:gridCol w:w="2586"/>
        <w:gridCol w:w="6774"/>
      </w:tblGrid>
      <w:tr>
        <w:trPr>
          <w:tblHeader w:val="true"/>
        </w:trPr>
        <w:tc>
          <w:tcPr>
            <w:tcW w:type="dxa" w:w="2586"/>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Field</w:t>
            </w:r>
          </w:p>
        </w:tc>
        <w:tc>
          <w:tcPr>
            <w:tcW w:type="dxa" w:w="677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Value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Document number</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QCL-2026-RACI-001</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Company</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NovaSterile Pharma Co., Ltd.</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Suzhou Sterile Products Manufacturing Site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Project</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QC Laboratory Digital Platform Replacement Project</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LIMS/LES</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Lifecycle phase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CSV Governance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Version</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1.0</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Effective/record date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2026-01-25</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Case status</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Governing references</w:t>
      </w:r>
    </w:p>
    <w:p>
      <w:pPr>
        <w:pStyle w:val="ListBullet"/>
        <w:spacing w:after="80" w:line="300" w:lineRule="auto"/>
      </w:pPr>
      <w:r>
        <w:rPr>
          <w:rFonts w:ascii="Calibri" w:hAnsi="Calibri"/>
          <w:color w:val="000000"/>
          <w:sz w:val="22"/>
        </w:rPr>
        <w:t>China GMP (2010 Revision), Appendix: Computerised Systems (effective 1 December 2015)</w:t>
      </w:r>
    </w:p>
    <w:p>
      <w:pPr>
        <w:pStyle w:val="ListBullet"/>
        <w:spacing w:after="80" w:line="300" w:lineRule="auto"/>
      </w:pPr>
      <w:r>
        <w:rPr>
          <w:rFonts w:ascii="Calibri" w:hAnsi="Calibri"/>
          <w:color w:val="000000"/>
          <w:sz w:val="22"/>
        </w:rPr>
        <w:t>China GMP (2010 Revision), Appendix: Qualification and Validation (effective 1 December 2015)</w:t>
      </w:r>
    </w:p>
    <w:p>
      <w:pPr>
        <w:pStyle w:val="ListBullet"/>
        <w:spacing w:after="80" w:line="300" w:lineRule="auto"/>
      </w:pPr>
      <w:r>
        <w:rPr>
          <w:rFonts w:ascii="Calibri" w:hAnsi="Calibri"/>
          <w:color w:val="000000"/>
          <w:sz w:val="22"/>
        </w:rPr>
        <w:t>EU GMP Annex 11: Computerised Systems (2011)</w:t>
      </w:r>
    </w:p>
    <w:p>
      <w:pPr>
        <w:pStyle w:val="ListBullet"/>
        <w:spacing w:after="80" w:line="300" w:lineRule="auto"/>
      </w:pPr>
      <w:r>
        <w:rPr>
          <w:rFonts w:ascii="Calibri" w:hAnsi="Calibri"/>
          <w:color w:val="000000"/>
          <w:sz w:val="22"/>
        </w:rPr>
        <w:t>EU GMP Annex 15: Qualification and Validation (2015)</w:t>
      </w:r>
    </w:p>
    <w:p>
      <w:pPr>
        <w:pStyle w:val="ListBullet"/>
        <w:spacing w:after="80" w:line="300" w:lineRule="auto"/>
      </w:pPr>
      <w:r>
        <w:rPr>
          <w:rFonts w:ascii="Calibri" w:hAnsi="Calibri"/>
          <w:color w:val="000000"/>
          <w:sz w:val="22"/>
        </w:rPr>
        <w:t>21 CFR Part 11: Electronic Records; Electronic Signatures</w:t>
      </w:r>
    </w:p>
    <w:p>
      <w:pPr>
        <w:pStyle w:val="ListBullet"/>
        <w:spacing w:after="80" w:line="300" w:lineRule="auto"/>
      </w:pPr>
      <w:r>
        <w:rPr>
          <w:rFonts w:ascii="Calibri" w:hAnsi="Calibri"/>
          <w:color w:val="000000"/>
          <w:sz w:val="22"/>
        </w:rPr>
        <w:t>FDA Guidance: Part 11, Electronic Records; Electronic Signatures — Scope and Application</w:t>
      </w:r>
    </w:p>
    <w:p>
      <w:pPr>
        <w:pStyle w:val="ListBullet"/>
        <w:spacing w:after="80" w:line="300" w:lineRule="auto"/>
      </w:pPr>
      <w:r>
        <w:rPr>
          <w:rFonts w:ascii="Calibri" w:hAnsi="Calibri"/>
          <w:color w:val="000000"/>
          <w:sz w:val="22"/>
        </w:rPr>
        <w:t>PIC/S PI 041-1: Good Practices for Data Management and Integrity in Regulated GMP/GDP Environments (2021)</w:t>
      </w:r>
    </w:p>
    <w:p>
      <w:pPr>
        <w:pStyle w:val="ListBullet"/>
        <w:spacing w:after="80" w:line="300" w:lineRule="auto"/>
      </w:pPr>
      <w:r>
        <w:rPr>
          <w:rFonts w:ascii="Calibri" w:hAnsi="Calibri"/>
          <w:color w:val="000000"/>
          <w:sz w:val="22"/>
        </w:rPr>
        <w:t>ISPE GAMP 5, Second Edition (2022), used as non-binding industry guidance</w:t>
      </w:r>
    </w:p>
    <w:p>
      <w:pPr>
        <w:pStyle w:val="Heading1"/>
      </w:pPr>
      <w:r>
        <w:t>1. Purpose</w:t>
      </w:r>
    </w:p>
    <w:p>
      <w:pPr>
        <w:spacing w:after="120" w:line="300" w:lineRule="auto"/>
      </w:pPr>
      <w:r>
        <w:rPr>
          <w:rFonts w:ascii="Calibri" w:hAnsi="Calibri"/>
          <w:b w:val="0"/>
          <w:i w:val="0"/>
          <w:color w:val="000000"/>
          <w:sz w:val="22"/>
        </w:rPr>
        <w:t>This matrix defines lifecycle accountability. Each activity has one and only one A (Accountable). Additional required quality or business approvals may be recorded in the associated document, but accountability remains singular.</w:t>
      </w:r>
    </w:p>
    <w:p>
      <w:pPr>
        <w:pStyle w:val="Heading1"/>
      </w:pPr>
      <w:r>
        <w:t>2. Role abbreviations</w:t>
      </w:r>
    </w:p>
    <w:p>
      <w:pPr>
        <w:pStyle w:val="ListBullet"/>
        <w:spacing w:after="80" w:line="300" w:lineRule="auto"/>
      </w:pPr>
      <w:r>
        <w:rPr>
          <w:rFonts w:ascii="Calibri" w:hAnsi="Calibri"/>
          <w:color w:val="000000"/>
          <w:sz w:val="22"/>
        </w:rPr>
        <w:t>SP — Project Sponsor</w:t>
      </w:r>
    </w:p>
    <w:p>
      <w:pPr>
        <w:pStyle w:val="ListBullet"/>
        <w:spacing w:after="80" w:line="300" w:lineRule="auto"/>
      </w:pPr>
      <w:r>
        <w:rPr>
          <w:rFonts w:ascii="Calibri" w:hAnsi="Calibri"/>
          <w:color w:val="000000"/>
          <w:sz w:val="22"/>
        </w:rPr>
        <w:t>BPO — QC Business Process Owner</w:t>
      </w:r>
    </w:p>
    <w:p>
      <w:pPr>
        <w:pStyle w:val="ListBullet"/>
        <w:spacing w:after="80" w:line="300" w:lineRule="auto"/>
      </w:pPr>
      <w:r>
        <w:rPr>
          <w:rFonts w:ascii="Calibri" w:hAnsi="Calibri"/>
          <w:color w:val="000000"/>
          <w:sz w:val="22"/>
        </w:rPr>
        <w:t>SO — System Owner</w:t>
      </w:r>
    </w:p>
    <w:p>
      <w:pPr>
        <w:pStyle w:val="ListBullet"/>
        <w:spacing w:after="80" w:line="300" w:lineRule="auto"/>
      </w:pPr>
      <w:r>
        <w:rPr>
          <w:rFonts w:ascii="Calibri" w:hAnsi="Calibri"/>
          <w:color w:val="000000"/>
          <w:sz w:val="22"/>
        </w:rPr>
        <w:t>QA — QA Validation Manager</w:t>
      </w:r>
    </w:p>
    <w:p>
      <w:pPr>
        <w:pStyle w:val="ListBullet"/>
        <w:spacing w:after="80" w:line="300" w:lineRule="auto"/>
      </w:pPr>
      <w:r>
        <w:rPr>
          <w:rFonts w:ascii="Calibri" w:hAnsi="Calibri"/>
          <w:color w:val="000000"/>
          <w:sz w:val="22"/>
        </w:rPr>
        <w:t>PM — CSV Project Manager</w:t>
      </w:r>
    </w:p>
    <w:p>
      <w:pPr>
        <w:pStyle w:val="ListBullet"/>
        <w:spacing w:after="80" w:line="300" w:lineRule="auto"/>
      </w:pPr>
      <w:r>
        <w:rPr>
          <w:rFonts w:ascii="Calibri" w:hAnsi="Calibri"/>
          <w:color w:val="000000"/>
          <w:sz w:val="22"/>
        </w:rPr>
        <w:t>IT — IT/Infrastructure Owner</w:t>
      </w:r>
    </w:p>
    <w:p>
      <w:pPr>
        <w:pStyle w:val="ListBullet"/>
        <w:spacing w:after="80" w:line="300" w:lineRule="auto"/>
      </w:pPr>
      <w:r>
        <w:rPr>
          <w:rFonts w:ascii="Calibri" w:hAnsi="Calibri"/>
          <w:color w:val="000000"/>
          <w:sz w:val="22"/>
        </w:rPr>
        <w:t>VEN — Supplier</w:t>
      </w:r>
    </w:p>
    <w:p>
      <w:pPr>
        <w:pStyle w:val="ListBullet"/>
        <w:spacing w:after="80" w:line="300" w:lineRule="auto"/>
      </w:pPr>
      <w:r>
        <w:rPr>
          <w:rFonts w:ascii="Calibri" w:hAnsi="Calibri"/>
          <w:color w:val="000000"/>
          <w:sz w:val="22"/>
        </w:rPr>
        <w:t>MIG — Data Migration Lead</w:t>
      </w:r>
    </w:p>
    <w:p>
      <w:pPr>
        <w:pStyle w:val="ListBullet"/>
        <w:spacing w:after="80" w:line="300" w:lineRule="auto"/>
      </w:pPr>
      <w:r>
        <w:rPr>
          <w:rFonts w:ascii="Calibri" w:hAnsi="Calibri"/>
          <w:color w:val="000000"/>
          <w:sz w:val="22"/>
        </w:rPr>
        <w:t>RM — Records Management Owner</w:t>
      </w:r>
    </w:p>
    <w:p>
      <w:pPr>
        <w:pStyle w:val="Heading1"/>
      </w:pPr>
      <w:r>
        <w:t>3. RACI matrix</w:t>
      </w:r>
    </w:p>
    <w:tbl>
      <w:tblPr>
        <w:tblStyle w:val="TableGrid"/>
        <w:tblW w:type="dxa" w:w="9360"/>
        <w:tblLayout w:type="fixed"/>
        <w:tblLook w:firstColumn="1" w:firstRow="1" w:lastColumn="0" w:lastRow="0" w:noHBand="0" w:noVBand="1" w:val="04A0"/>
        <w:tblInd w:w="120" w:type="dxa"/>
      </w:tblPr>
      <w:tblGrid>
        <w:gridCol w:w="3120"/>
        <w:gridCol w:w="720"/>
        <w:gridCol w:w="720"/>
        <w:gridCol w:w="720"/>
        <w:gridCol w:w="720"/>
        <w:gridCol w:w="720"/>
        <w:gridCol w:w="720"/>
        <w:gridCol w:w="720"/>
        <w:gridCol w:w="720"/>
        <w:gridCol w:w="480"/>
      </w:tblGrid>
      <w:tr>
        <w:trPr>
          <w:tblHeader w:val="true"/>
        </w:trPr>
        <w:tc>
          <w:tcPr>
            <w:tcW w:type="dxa" w:w="312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Activity</w:t>
            </w:r>
          </w:p>
        </w:tc>
        <w:tc>
          <w:tcPr>
            <w:tcW w:type="dxa" w:w="72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SP</w:t>
            </w:r>
          </w:p>
        </w:tc>
        <w:tc>
          <w:tcPr>
            <w:tcW w:type="dxa" w:w="72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BPO</w:t>
            </w:r>
          </w:p>
        </w:tc>
        <w:tc>
          <w:tcPr>
            <w:tcW w:type="dxa" w:w="72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SO</w:t>
            </w:r>
          </w:p>
        </w:tc>
        <w:tc>
          <w:tcPr>
            <w:tcW w:type="dxa" w:w="72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QA</w:t>
            </w:r>
          </w:p>
        </w:tc>
        <w:tc>
          <w:tcPr>
            <w:tcW w:type="dxa" w:w="72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PM</w:t>
            </w:r>
          </w:p>
        </w:tc>
        <w:tc>
          <w:tcPr>
            <w:tcW w:type="dxa" w:w="72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IT</w:t>
            </w:r>
          </w:p>
        </w:tc>
        <w:tc>
          <w:tcPr>
            <w:tcW w:type="dxa" w:w="72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VEN</w:t>
            </w:r>
          </w:p>
        </w:tc>
        <w:tc>
          <w:tcPr>
            <w:tcW w:type="dxa" w:w="72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MIG</w:t>
            </w:r>
          </w:p>
        </w:tc>
        <w:tc>
          <w:tcPr>
            <w:tcW w:type="dxa" w:w="48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5"/>
              </w:rPr>
              <w:t>RM</w:t>
            </w:r>
          </w:p>
        </w:tc>
      </w:tr>
      <w:tr>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Approve site CSV procedure/VMP</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48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r>
      <w:tr>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Approve project charter and funding</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48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r>
      <w:tr>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Define scope and intended use</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48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r>
      <w:tr>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Describe business process</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48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r>
      <w:tr>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Maintain system inventory</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48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r>
      <w:tr>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Perform GxP/classification/PRA</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48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r>
      <w:tr>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Perform DIRA/Part 11 assessment</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48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r>
      <w:tr>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Approve project validation plan</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48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r>
      <w:tr>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Select and qualify supplier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48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r>
      <w:tr>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Approve URS</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48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r>
      <w:tr>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Approve design/configuration</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48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r>
      <w:tr>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Approve migration strategy</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w:t>
            </w:r>
          </w:p>
        </w:tc>
        <w:tc>
          <w:tcPr>
            <w:tcW w:type="dxa" w:w="48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r>
      <w:tr>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Build/configure system</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48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r>
      <w:tr>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Develop custom interfaces</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48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r>
      <w:tr>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Approve test plan/scripts</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48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r>
      <w:tr>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Execute IQ</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48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r>
      <w:tr>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Execute OQ</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48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r>
      <w:tr>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Execute PQ/UAT</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48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r>
      <w:tr>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Manage defects/deviations</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48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r>
      <w:tr>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Accept residual validation risk</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48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r>
      <w:tr>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Approve VSR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48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r>
      <w:tr>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Approve go-live business decision</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48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r>
      <w:tr>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Provision production access</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48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r>
      <w:tr>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Operate and support system</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48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r>
      <w:tr>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Perform periodic access/audit review</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48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r>
      <w:tr>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Approve changes and patches</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48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r>
      <w:tr>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Perform annual periodic review</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48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r>
      <w:tr>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Approve archive acceptance</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48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w:t>
            </w:r>
          </w:p>
        </w:tc>
      </w:tr>
      <w:tr>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Approve legacy retirement</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48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r>
      <w:tr>
        <w:tc>
          <w:tcPr>
            <w:tcW w:type="dxa" w:w="31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Approve final retirement conclusion</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A</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R</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I</w:t>
            </w:r>
          </w:p>
        </w:tc>
        <w:tc>
          <w:tcPr>
            <w:tcW w:type="dxa" w:w="72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c>
          <w:tcPr>
            <w:tcW w:type="dxa" w:w="480"/>
            <w:vAlign w:val="center"/>
            <w:tcMar>
              <w:top w:w="80" w:type="dxa"/>
              <w:bottom w:w="80" w:type="dxa"/>
              <w:start w:w="120" w:type="dxa"/>
              <w:end w:w="120" w:type="dxa"/>
            </w:tcMar>
          </w:tcPr>
          <w:p>
            <w:pPr>
              <w:spacing w:after="0" w:line="276" w:lineRule="auto"/>
              <w:jc w:val="left"/>
            </w:pPr>
            <w:r/>
            <w:r>
              <w:rPr>
                <w:rFonts w:ascii="Calibri" w:hAnsi="Calibri"/>
                <w:b w:val="0"/>
                <w:color w:val="000000"/>
                <w:sz w:val="15"/>
              </w:rPr>
              <w:t>C</w:t>
            </w:r>
          </w:p>
        </w:tc>
      </w:tr>
    </w:tbl>
    <w:p>
      <w:pPr>
        <w:spacing w:after="80"/>
      </w:pPr>
    </w:p>
    <w:p>
      <w:pPr>
        <w:pStyle w:val="Heading1"/>
      </w:pPr>
      <w:r>
        <w:t>4. Decision rules</w:t>
      </w:r>
    </w:p>
    <w:p>
      <w:pPr>
        <w:pStyle w:val="ListBullet"/>
        <w:spacing w:after="80" w:line="300" w:lineRule="auto"/>
      </w:pPr>
      <w:r>
        <w:rPr>
          <w:rFonts w:ascii="Calibri" w:hAnsi="Calibri"/>
          <w:color w:val="000000"/>
          <w:sz w:val="22"/>
        </w:rPr>
        <w:t>QA is accountable for the validation strategy, residual GxP risk acceptance and final validation conclusion.</w:t>
      </w:r>
    </w:p>
    <w:p>
      <w:pPr>
        <w:pStyle w:val="ListBullet"/>
        <w:spacing w:after="80" w:line="300" w:lineRule="auto"/>
      </w:pPr>
      <w:r>
        <w:rPr>
          <w:rFonts w:ascii="Calibri" w:hAnsi="Calibri"/>
          <w:color w:val="000000"/>
          <w:sz w:val="22"/>
        </w:rPr>
        <w:t>The BPO is accountable for intended use, URS and business go-live acceptance.</w:t>
      </w:r>
    </w:p>
    <w:p>
      <w:pPr>
        <w:pStyle w:val="ListBullet"/>
        <w:spacing w:after="80" w:line="300" w:lineRule="auto"/>
      </w:pPr>
      <w:r>
        <w:rPr>
          <w:rFonts w:ascii="Calibri" w:hAnsi="Calibri"/>
          <w:color w:val="000000"/>
          <w:sz w:val="22"/>
        </w:rPr>
        <w:t>The System Owner is accountable for technical design, production access, operation, change and retirement execution.</w:t>
      </w:r>
    </w:p>
    <w:p>
      <w:pPr>
        <w:pStyle w:val="ListBullet"/>
        <w:spacing w:after="80" w:line="300" w:lineRule="auto"/>
      </w:pPr>
      <w:r>
        <w:rPr>
          <w:rFonts w:ascii="Calibri" w:hAnsi="Calibri"/>
          <w:color w:val="000000"/>
          <w:sz w:val="22"/>
        </w:rPr>
        <w:t>Records Management is accountable for archive acceptance.</w:t>
      </w:r>
    </w:p>
    <w:p>
      <w:pPr>
        <w:pStyle w:val="ListBullet"/>
        <w:spacing w:after="80" w:line="300" w:lineRule="auto"/>
      </w:pPr>
      <w:r>
        <w:rPr>
          <w:rFonts w:ascii="Calibri" w:hAnsi="Calibri"/>
          <w:color w:val="000000"/>
          <w:sz w:val="22"/>
        </w:rPr>
        <w:t>Emergency actions may be taken to protect product, data or continuity, but must be documented and entered into deviation/change control within one business day.</w:t>
      </w:r>
    </w:p>
    <w:p>
      <w:pPr>
        <w:pStyle w:val="Heading2"/>
      </w:pPr>
      <w:r>
        <w:t>4.1 Approval authority boundaries</w:t>
      </w:r>
    </w:p>
    <w:tbl>
      <w:tblPr>
        <w:tblStyle w:val="TableGrid"/>
        <w:tblW w:type="dxa" w:w="9360"/>
        <w:tblLayout w:type="fixed"/>
        <w:tblLook w:firstColumn="1" w:firstRow="1" w:lastColumn="0" w:lastRow="0" w:noHBand="0" w:noVBand="1" w:val="04A0"/>
        <w:tblInd w:w="120" w:type="dxa"/>
      </w:tblPr>
      <w:tblGrid>
        <w:gridCol w:w="2821"/>
        <w:gridCol w:w="2752"/>
        <w:gridCol w:w="3787"/>
      </w:tblGrid>
      <w:tr>
        <w:trPr>
          <w:tblHeader w:val="true"/>
        </w:trPr>
        <w:tc>
          <w:tcPr>
            <w:tcW w:type="dxa" w:w="2821"/>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Decision</w:t>
            </w:r>
          </w:p>
        </w:tc>
        <w:tc>
          <w:tcPr>
            <w:tcW w:type="dxa" w:w="2752"/>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Accountable approval</w:t>
            </w:r>
          </w:p>
        </w:tc>
        <w:tc>
          <w:tcPr>
            <w:tcW w:type="dxa" w:w="3787"/>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Additional required concurrence</w:t>
            </w:r>
          </w:p>
        </w:tc>
      </w:tr>
      <w:tr>
        <w:tc>
          <w:tcPr>
            <w:tcW w:type="dxa" w:w="282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Validation strategy and residual GxP risk</w:t>
            </w:r>
          </w:p>
        </w:tc>
        <w:tc>
          <w:tcPr>
            <w:tcW w:type="dxa" w:w="275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QA Validation Manager</w:t>
            </w:r>
          </w:p>
        </w:tc>
        <w:tc>
          <w:tcPr>
            <w:tcW w:type="dxa" w:w="378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Owner and BPO for feasibility and intended use</w:t>
            </w:r>
          </w:p>
        </w:tc>
      </w:tr>
      <w:tr>
        <w:tc>
          <w:tcPr>
            <w:tcW w:type="dxa" w:w="282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Business process acceptance</w:t>
            </w:r>
          </w:p>
        </w:tc>
        <w:tc>
          <w:tcPr>
            <w:tcW w:type="dxa" w:w="275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 Business Process Owner</w:t>
            </w:r>
          </w:p>
        </w:tc>
        <w:tc>
          <w:tcPr>
            <w:tcW w:type="dxa" w:w="378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QA when the decision affects regulated records or release criteria</w:t>
            </w:r>
          </w:p>
        </w:tc>
      </w:tr>
      <w:tr>
        <w:tc>
          <w:tcPr>
            <w:tcW w:type="dxa" w:w="282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Production configuration baseline</w:t>
            </w:r>
          </w:p>
        </w:tc>
        <w:tc>
          <w:tcPr>
            <w:tcW w:type="dxa" w:w="275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Owner</w:t>
            </w:r>
          </w:p>
        </w:tc>
        <w:tc>
          <w:tcPr>
            <w:tcW w:type="dxa" w:w="378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QA and IT for validated state, security and recoverability</w:t>
            </w:r>
          </w:p>
        </w:tc>
      </w:tr>
      <w:tr>
        <w:tc>
          <w:tcPr>
            <w:tcW w:type="dxa" w:w="282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Supplier evidence leveraging</w:t>
            </w:r>
          </w:p>
        </w:tc>
        <w:tc>
          <w:tcPr>
            <w:tcW w:type="dxa" w:w="275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QA Validation Manager</w:t>
            </w:r>
          </w:p>
        </w:tc>
        <w:tc>
          <w:tcPr>
            <w:tcW w:type="dxa" w:w="378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CSV Lead and System Owner for relevance and completeness</w:t>
            </w:r>
          </w:p>
        </w:tc>
      </w:tr>
      <w:tr>
        <w:tc>
          <w:tcPr>
            <w:tcW w:type="dxa" w:w="282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Archive acceptance and retrievability</w:t>
            </w:r>
          </w:p>
        </w:tc>
        <w:tc>
          <w:tcPr>
            <w:tcW w:type="dxa" w:w="275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Records Management Owner</w:t>
            </w:r>
          </w:p>
        </w:tc>
        <w:tc>
          <w:tcPr>
            <w:tcW w:type="dxa" w:w="378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QA and Legacy System Owner</w:t>
            </w:r>
          </w:p>
        </w:tc>
      </w:tr>
      <w:tr>
        <w:tc>
          <w:tcPr>
            <w:tcW w:type="dxa" w:w="282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Emergency production workaround</w:t>
            </w:r>
          </w:p>
        </w:tc>
        <w:tc>
          <w:tcPr>
            <w:tcW w:type="dxa" w:w="275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Owner</w:t>
            </w:r>
          </w:p>
        </w:tc>
        <w:tc>
          <w:tcPr>
            <w:tcW w:type="dxa" w:w="378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QA acknowledgement and deviation/change control closure</w:t>
            </w:r>
          </w:p>
        </w:tc>
      </w:tr>
    </w:tbl>
    <w:p>
      <w:pPr>
        <w:spacing w:after="80"/>
      </w:pPr>
    </w:p>
    <w:p>
      <w:pPr>
        <w:pStyle w:val="Heading2"/>
      </w:pPr>
      <w:r>
        <w:t>4.2 Delegation and segregation rules</w:t>
      </w:r>
    </w:p>
    <w:p>
      <w:pPr>
        <w:spacing w:after="120" w:line="300" w:lineRule="auto"/>
      </w:pPr>
      <w:r>
        <w:rPr>
          <w:rFonts w:ascii="Calibri" w:hAnsi="Calibri"/>
          <w:b w:val="0"/>
          <w:i w:val="0"/>
          <w:color w:val="000000"/>
          <w:sz w:val="22"/>
        </w:rPr>
        <w:t>Delegation is permitted only to trained personnel with documented authority and shall not transfer accountability. A person who configures a critical workflow, role, calculation or report shall not be the sole approver of its release evidence. Supplier personnel may prepare or execute agreed activities, but final GxP acceptance remains with the company. Conflicts between schedule, business preference and quality risk are escalated to the Steering Committee with QA's position recorded.</w:t>
      </w:r>
    </w:p>
    <w:p>
      <w:pPr>
        <w:pStyle w:val="Heading1"/>
      </w:pPr>
      <w:r>
        <w:t>5. Related documents</w:t>
      </w:r>
    </w:p>
    <w:tbl>
      <w:tblPr>
        <w:tblStyle w:val="TableGrid"/>
        <w:tblW w:type="dxa" w:w="9360"/>
        <w:tblLayout w:type="fixed"/>
        <w:tblLook w:firstColumn="1" w:firstRow="1" w:lastColumn="0" w:lastRow="0" w:noHBand="0" w:noVBand="1" w:val="04A0"/>
        <w:tblInd w:w="120" w:type="dxa"/>
      </w:tblPr>
      <w:tblGrid>
        <w:gridCol w:w="2224"/>
        <w:gridCol w:w="2038"/>
        <w:gridCol w:w="5098"/>
      </w:tblGrid>
      <w:tr>
        <w:trPr>
          <w:tblHeader w:val="true"/>
        </w:trPr>
        <w:tc>
          <w:tcPr>
            <w:tcW w:type="dxa" w:w="222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Relationship</w:t>
            </w:r>
          </w:p>
        </w:tc>
        <w:tc>
          <w:tcPr>
            <w:tcW w:type="dxa" w:w="203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 ID</w:t>
            </w:r>
          </w:p>
        </w:tc>
        <w:tc>
          <w:tcPr>
            <w:tcW w:type="dxa" w:w="509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SOP-CSV-001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 Computerised System Lifecycle Management Procedure](001_CSV_Lifecycle_Management_Procedure.md)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VMP-SZ-001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 Validation Master Plan](002_Validation_Master_Plan.md)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QCL-2026-CHA-001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Project Charter](005_Project_Charter.md)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QCL-2026-GXP-001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GxP Impact Assessment](009_GxP_Impact_Assessment.md)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QCL-2026-CLA-001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Classification and Criticality Assessment](010_System_Classification_and_Criticality_Assessment.md)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QCL-2026-PRA-001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[Preliminary Risk Assessment](011_Preliminary_Risk_Assessment.md)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QCL-2026-DIRA-001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[Data Integrity Risk Assessment](012_Data_Integrity_Risk_Assessment.md)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QCL-2026-ERES-001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[21 CFR Part 11 and EU Annex 11 Assessment](013_21_CFR_Part_11_and_EU_Annex_11_Assessment.md)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QCL-2026-CYB-001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[Cybersecurity and Privacy Impact Assessment](014_Cybersecurity_and_Privacy_Impact_Assessment.md)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QCL-2026-VP-001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Project Validation Plan](015_Project_Validation_Plan.md)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QCL-2026-MDL-001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[Master Deliverable List and Schedule](016_Master_Deliverable_List_and_Schedule.md)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QCL-2026-RFP-001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[RFI, RFP and Product Selection Record](017_RFI_RFP_and_Product_Selection_Record.md)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QCL-2026-SQA-001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[Supplier Qualification Assessment](018_Supplier_Qualification_Assessment.md)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QCL-2026-SAR-001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[Supplier Audit Report and CAPA](019_Supplier_Audit_Report_and_CAPA.md)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QCL-2026-QTA-001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[Quality/Technical Agreement and Service Level Agreement](020_Quality_Technical_Agreement_and_SLA.md)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QCL-2026-SDL-001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[Supplier Documentation Leveraging Assessment](021_Supplier_Documentation_Leveraging_Assessment.md)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QCL-2026-URS-001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[User Requirements Specification](022_User_Requirements_Specification.md)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QCL-2026-FS-001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[Functional Specification](023_Functional_Specification.md)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QCL-2026-DS-001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Design Specification](024_System_Design_Specification.md)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QCL-2026-CS-001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[Configuration Specification](025_Configuration_Specification.md)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QCL-2026-IAD-001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[Infrastructure and Architecture Design](026_Infrastructure_and_Architecture_Design.md)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QCL-2026-ICS-001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[Interface Control Specification](027_Interface_Control_Specification.md)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QCL-2026-DDS-001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[Data Flow, Data Dictionary and Metadata Specification](028_Data_Flow_Data_Dictionary_and_Metadata_Specification.md)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QCL-2026-RCS-001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[Report and Calculation Specification](029_Report_and_Calculation_Specification.md)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QCL-2026-MDS-001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[Master Data Specification](030_Master_Data_Specification.md)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QCL-2026-RAC-001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[Role and Access Control Matrix](031_Role_and_Access_Control_Matrix.md)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QCL-2026-ATS-001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[Audit Trail Specification](032_Audit_Trail_Specification.md)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QCL-2026-ESS-001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[Electronic Signature Specification](033_Electronic_Signature_Specification.md)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QCL-2026-BRS-001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[Backup and Restore Specification](034_Backup_and_Restore_Specification.md)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QCL-2026-BCP-001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[Business Continuity and Disaster Recovery Plan](035_Business_Continuity_and_Disaster_Recovery_Plan.md)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QCL-2026-DMP-001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[Data Migration Strategy and Plan](036_Data_Migration_Strategy_and_Plan.md)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QCL-2026-DMS-001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[Data Mapping, Cleansing and Transformation Specification](037_Data_Mapping_Cleansing_and_Transformation_Specification.md)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QCL-2026-FRA-001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[Functional Risk Assessment](038_Functional_Risk_Assessment.md)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QCL-2026-RTM-001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[Initial Requirements Traceability Matrix](039_Initial_Requirements_Traceability_Matrix.md)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QCL-2026-BLD-001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[Installation, Build and Configuration Record](040_Installation_Build_and_Configuration_Record.md)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QCL-2026-CIR-001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[Configuration Item and Version Register](041_Configuration_Item_and_Version_Register.md)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QCL-2026-SDP-001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[Software Development and Source Control Plan](042_Software_Development_and_Source_Control_Plan.md)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QCL-2026-CRU-001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[Code Review and Unit Test Report](043_Code_Review_and_Unit_Test_Report.md)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QCL-2026-FAT-001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[Factory Acceptance Test Protocol and Report](044_Factory_Acceptance_Test_Protocol_and_Report.md)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QCL-2026-SAT-001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 Acceptance Test Protocol and Report](045_Site_Acceptance_Test_Protocol_and_Report.md)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QCL-2026-VTP-001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[Validation Test Plan and Strategy](046_Validation_Test_Plan_and_Strategy.md)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QCL-2026-MTS-001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[Master Test Scripts and Test Data Catalogue](047_Master_Test_Scripts_and_Test_Data_Catalogue.md)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QCL-2026-IQ-001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[Installation Qualification Protocol and Report](048_Installation_Qualification_Protocol_and_Report.md)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QCL-2026-OQ-001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[Operational Qualification Protocol and Report](049_Operational_Qualification_Protocol_and_Report.md)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QCL-2026-PQ-001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[Performance Qualification and User Acceptance Test Report](050_Performance_Qualification_and_UAT_Report.md)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QCL-2026-IFT-001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[Interface Test Protocol and Report](051_Interface_Test_Protocol_and_Report.md)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QCL-2026-DMT-001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[Data Migration Test and Reconciliation Report](052_Data_Migration_Test_and_Reconciliation_Report.md)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QCL-2026-SEC-001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[Security, Access and Segregation of Duties Test Report](053_Security_Access_and_Segregation_of_Duties_Test.md)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QCL-2026-ATC-001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[Audit Trail Challenge Test Report](054_Audit_Trail_Challenge_Test_Report.md)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QCL-2026-EST-001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[Electronic Signature Test Report](055_Electronic_Signature_Test_Report.md)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QCL-2026-BRT-001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[Backup and Restore Test Report](056_Backup_and_Restore_Test_Report.md)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QCL-2026-PLC-001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[Performance, Load and Capacity Test Report](057_Performance_Load_and_Capacity_Test_Report.md)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QCL-2026-DRT-001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[Failover and Disaster Recovery Test Report](058_Failover_and_Disaster_Recovery_Test_Report.md)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QCL-2026-RPT-001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[Report, Print and Export Verification Report](059_Report_Print_and_Export_Verification_Report.md)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QCL-2026-DEF-001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[Defect Log and Resolution Report](060_Defect_Log_and_Resolution_Report.md)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QCL-2026-DEV-001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[Validation Deviation Log and Investigation Report](061_Validation_Deviation_Log_and_Investigation_Report.md)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QCL-2026-CAPA-001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[CAPA Record and Effectiveness Check](062_CAPA_Record_and_Effectiveness_Check.md)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QCL-2026-TSR-001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[Test Summary Report](063_Test_Summary_Report.md)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QCL-2026-RTM-002</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[Final Requirements Traceability Matrix](064_Final_Requirements_Traceability_Matrix.md)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QCL-2026-VSR-001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[Validation Summary Report](065_Validation_Summary_Report.md)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SOP-QC-LIMS-001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User Operation SOP](066_User_Operation_SOP.md)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SOP-IT-LIMS-001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System Administration SOP](067_System_Administration_SOP.md)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SOP-QA-ATR-001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Audit Trail Review SOP](068_Audit_Trail_Review_SOP.md)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SOP-IT-LIMS-002</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Operations, Maintenance, Backup, Incident, Change and Security SOP](069_Operations_Maintenance_Backup_Incident_Change_and_Security_SOP.md)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SOP-QA-ARC-001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[Data Retention, Archiving and Record Retrieval SOP](070_Data_Retention_Archiving_and_Record_Retrieval_SOP.md)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QCL-2026-TRN-001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[Training Plan, Materials and Training Record](071_Training_Plan_Materials_and_Training_Record.md)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QCL-2026-CUT-001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[Cutover, Rollback and Contingency Plan](072_Cutover_Rollback_and_Contingency_Plan.md)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QCL-2026-PDM-001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[Production Data Migration Execution and Reconciliation Record](073_Production_Data_Migration_Execution_and_Reconciliation_Record.md)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QCL-2026-PRC-001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[Production Readiness Checklist](074_Production_Readiness_Checklist.md)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QCL-2026-GLA-001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[Go-Live and Production Release Approval](075_Go_Live_and_Production_Release_Approval.md)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QCL-2026-HOV-001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Handover and Support Model](076_System_Handover_and_Support_Model.md)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QCL-2026-PBL-001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[Production Baseline and Approved Configuration Record](077_Production_Baseline_and_Approved_Configuration_Record.md)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QCL-2027-UAR-001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[User Access Request and Approval Records](078_User_Access_Request_and_Approval_Records.md)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QCL-2027-UAR-002</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[Periodic User Access Review Report](079_Periodic_User_Access_Review_Report.md)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QCL-2027-SOD-001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[Segregation of Duties and Privileged Access Review](080_Segregation_of_Duties_and_Privileged_Access_Review.md)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QCL-2027-ATR-001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[Periodic Audit Trail Review Record](081_Periodic_Audit_Trail_Review_Record.md)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QCL-2027-DIM-001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[Data Integrity Monitoring and Trend Report](082_Data_Integrity_Monitoring_and_Trend_Report.md)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QCL-2027-BML-001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[Backup Monitoring Log and Exception Record](083_Backup_Monitoring_Log_and_Exception_Record.md)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QCL-2027-RST-001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[Periodic Restore Test Report](084_Periodic_Restore_Test_Report.md)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QCL-2027-INC-014</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[Incident Record and Impact Assessment](085_Incident_Record_and_Impact_Assessment.md)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QCL-2027-PRB-006</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[Problem Record and Root Cause Analysis](086_Problem_Record_and_Root_Cause_Analysis.md)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QCL-2027-ODV-004</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[Operational Deviation and CAPA Record](087_Operational_Deviation_and_CAPA_Record.md)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QCL-2027-CHG-021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[Change Control Record](088_Change_Control_Record.md)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QCL-2027-PAT-003</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[Patch and Upgrade Impact Assessment](089_Patch_and_Upgrade_Impact_Assessment.md)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QCL-2027-REG-003</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[Regression Test Plan and Report](090_Regression_Test_Plan_and_Report.md)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QCL-2027-CHG-021-C</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[Change Implementation Verification and Closure](091_Change_Implementation_Verification_and_Closure.md)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QCL-2028-PRR-001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[Annual Periodic Review Report](092_Annual_Periodic_Review_Report.md)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QCL-2028-RVA-001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[Revalidation Assessment and Report](093_Revalidation_Assessment_and_Report.md)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QCL-2028-CVM-001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[Cybersecurity Vulnerability and Monitoring Report](094_Cybersecurity_Vulnerability_and_Monitoring_Report.md)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QCL-2028-DRE-001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[Business Continuity and Disaster Recovery Exercise Report](095_Business_Continuity_and_DR_Exercise_Report.md)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QCL-2028-SPR-001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[Supplier Periodic Performance and SLA Review](096_Supplier_Periodic_Performance_and_SLA_Review.md)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QCL-2028-ARC-001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and Data Archive Record](097_System_and_Data_Archive_Record.md)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QCL-2028-IRD-001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[Inspection Readiness Dossier and Audit Response Record](098_Inspection_Readiness_Dossier_and_Audit_Response_Record.md)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QCL-2028-DCR-001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[Legacy LIMS Decommissioning Request](099_Legacy_LIMS_Decommissioning_Request.md)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QCL-2028-RRA-001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[Legacy LIMS Retirement Risk Assessment](100_Legacy_LIMS_Retirement_Risk_Assessment.md)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QCL-2028-RTP-001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[Legacy LIMS Retirement Plan](101_Legacy_LIMS_Retirement_Plan.md)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QCL-2028-LAR-001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[Legacy Data Archiving and Retention Plan](102_Legacy_Data_Archiving_and_Retention_Plan.md)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QCL-2028-AVR-001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[Legacy Archive Verification and Retrievability Report](103_Legacy_Archive_Verification_and_Retrievability_Report.md)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QCL-2028-AIS-001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[Legacy Access Revocation and Interface Shutdown Record](104_Legacy_Access_Revocation_and_Interface_Shutdown_Record.md)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QCL-2028-DCL-001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[Legacy System Decommissioning Checklist](105_Legacy_System_Decommissioning_Checklist.md)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QCL-2028-RSR-001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[Legacy LIMS Retirement Summary Report](106_Legacy_LIMS_Retirement_Summary_Report.md)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CSI-SZ-001-CHG-2028-03</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[Computerised System Inventory Update—Retired Status](107_Computerised_System_Inventory_Update_Retired_Status.md)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QCL-2028-FDI-001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[Final Validation and Retirement Dossier Index](108_Final_Validation_and_Retirement_Dossier_Index.md)</w:t>
            </w:r>
          </w:p>
        </w:tc>
      </w:tr>
    </w:tbl>
    <w:p>
      <w:pPr>
        <w:spacing w:after="80"/>
      </w:pPr>
    </w:p>
    <w:p>
      <w:pPr>
        <w:pStyle w:val="Heading1"/>
      </w:pPr>
      <w:r>
        <w:t>Approval record</w:t>
      </w:r>
    </w:p>
    <w:tbl>
      <w:tblPr>
        <w:tblStyle w:val="TableGrid"/>
        <w:tblW w:type="dxa" w:w="9360"/>
        <w:tblLayout w:type="fixed"/>
        <w:tblLook w:firstColumn="1" w:firstRow="1" w:lastColumn="0" w:lastRow="0" w:noHBand="0" w:noVBand="1" w:val="04A0"/>
        <w:tblInd w:w="120" w:type="dxa"/>
      </w:tblPr>
      <w:tblGrid>
        <w:gridCol w:w="3333"/>
        <w:gridCol w:w="2692"/>
        <w:gridCol w:w="3335"/>
      </w:tblGrid>
      <w:tr>
        <w:trPr>
          <w:tblHeader w:val="true"/>
        </w:trPr>
        <w:tc>
          <w:tcPr>
            <w:tcW w:type="dxa" w:w="3333"/>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Approval step</w:t>
            </w:r>
          </w:p>
        </w:tc>
        <w:tc>
          <w:tcPr>
            <w:tcW w:type="dxa" w:w="2692"/>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Role</w:t>
            </w:r>
          </w:p>
        </w:tc>
        <w:tc>
          <w:tcPr>
            <w:tcW w:type="dxa" w:w="3335"/>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Case outcome</w:t>
            </w:r>
          </w:p>
        </w:tc>
      </w:tr>
      <w:tr>
        <w:tc>
          <w:tcPr>
            <w:tcW w:type="dxa" w:w="33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Prepared by</w:t>
            </w:r>
          </w:p>
        </w:tc>
        <w:tc>
          <w:tcPr>
            <w:tcW w:type="dxa" w:w="269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CSV Program Lead</w:t>
            </w:r>
          </w:p>
        </w:tc>
        <w:tc>
          <w:tcPr>
            <w:tcW w:type="dxa" w:w="333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3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Reviewed by</w:t>
            </w:r>
          </w:p>
        </w:tc>
        <w:tc>
          <w:tcPr>
            <w:tcW w:type="dxa" w:w="269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QA Validation Manager</w:t>
            </w:r>
          </w:p>
        </w:tc>
        <w:tc>
          <w:tcPr>
            <w:tcW w:type="dxa" w:w="333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3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by</w:t>
            </w:r>
          </w:p>
        </w:tc>
        <w:tc>
          <w:tcPr>
            <w:tcW w:type="dxa" w:w="269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 Quality Head</w:t>
            </w:r>
          </w:p>
        </w:tc>
        <w:tc>
          <w:tcPr>
            <w:tcW w:type="dxa" w:w="333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Revision history</w:t>
      </w:r>
    </w:p>
    <w:tbl>
      <w:tblPr>
        <w:tblStyle w:val="TableGrid"/>
        <w:tblW w:type="dxa" w:w="9360"/>
        <w:tblLayout w:type="fixed"/>
        <w:tblLook w:firstColumn="1" w:firstRow="1" w:lastColumn="0" w:lastRow="0" w:noHBand="0" w:noVBand="1" w:val="04A0"/>
        <w:tblInd w:w="120" w:type="dxa"/>
      </w:tblPr>
      <w:tblGrid>
        <w:gridCol w:w="2047"/>
        <w:gridCol w:w="1462"/>
        <w:gridCol w:w="5851"/>
      </w:tblGrid>
      <w:tr>
        <w:trPr>
          <w:tblHeader w:val="true"/>
        </w:trPr>
        <w:tc>
          <w:tcPr>
            <w:tcW w:type="dxa" w:w="2047"/>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Version</w:t>
            </w:r>
          </w:p>
        </w:tc>
        <w:tc>
          <w:tcPr>
            <w:tcW w:type="dxa" w:w="1462"/>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Date</w:t>
            </w:r>
          </w:p>
        </w:tc>
        <w:tc>
          <w:tcPr>
            <w:tcW w:type="dxa" w:w="5851"/>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Change</w:t>
            </w:r>
          </w:p>
        </w:tc>
      </w:tr>
      <w:tr>
        <w:tc>
          <w:tcPr>
            <w:tcW w:type="dxa" w:w="2047"/>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1.0</w:t>
            </w:r>
          </w:p>
        </w:tc>
        <w:tc>
          <w:tcPr>
            <w:tcW w:type="dxa" w:w="1462"/>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2026-01-25</w:t>
            </w:r>
          </w:p>
        </w:tc>
        <w:tc>
          <w:tcPr>
            <w:tcW w:type="dxa" w:w="58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Initial approved fictional case version.</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7"/>
      </w:rPr>
      <w:t xml:space="preserve">QCL-2026-RACI-001 | Version 1.0 | Approved in fictional case | Page </w:t>
    </w:r>
    <w:r>
      <w:fldChar w:fldCharType="begin"/>
    </w:r>
    <w:r>
      <w:instrText xml:space="preserve"> PAGE </w:instrText>
    </w:r>
    <w:r>
      <w:fldChar w:fldCharType="separate"/>
    </w:r>
    <w:r>
      <w:rPr>
        <w:rFonts w:ascii="Calibri" w:hAnsi="Calibri"/>
        <w:color w:val="595959"/>
        <w:sz w:val="18"/>
      </w:rPr>
      <w:t>1</w:t>
    </w:r>
    <w:r>
      <w:fldChar w:fldCharType="end"/>
    </w:r>
    <w:r>
      <w:rPr>
        <w:rFonts w:ascii="Calibri" w:hAnsi="Calibri"/>
        <w:color w:val="595959"/>
        <w:sz w:val="17"/>
      </w:rPr>
      <w:t xml:space="preserve"> of </w:t>
    </w:r>
    <w:r>
      <w:fldChar w:fldCharType="begin"/>
    </w:r>
    <w:r>
      <w:instrText xml:space="preserve"> NUMPAGES </w:instrText>
    </w:r>
    <w:r>
      <w:fldChar w:fldCharType="separate"/>
    </w:r>
    <w:r>
      <w:rPr>
        <w:rFonts w:ascii="Calibri" w:hAnsi="Calibri"/>
        <w:color w:val="595959"/>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95959"/>
        <w:sz w:val="17"/>
      </w:rPr>
      <w:t>QCL-2026 | QCLabOne 2.0 LIMS/LES</w:t>
    </w:r>
    <w:r>
      <w:tab/>
    </w:r>
    <w:r>
      <w:rPr>
        <w:rFonts w:ascii="Calibri" w:hAnsi="Calibri"/>
        <w:color w:val="595959"/>
        <w:sz w:val="17"/>
      </w:rPr>
      <w:t>QCL-2026-RACI-001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QCLabOne 2.0 CSV RACI and Responsibilities Matrix</dc:title>
  <dc:subject>GMP CSV controlled-document conversion</dc:subject>
  <dc:creator>CSV108 Markdown DOCX Converter</dc:creator>
  <cp:keywords>CSV, GMP, validation, DOCX, controlled document</cp:keywords>
  <dc:description>Converted from CSV108 Markdown source. Requires site-specific QA review before operational use.</dc:description>
  <cp:lastModifiedBy>CSV108 Markdown DOCX Converter</cp:lastModifiedBy>
  <cp:revision>1</cp:revision>
  <dcterms:created xsi:type="dcterms:W3CDTF">2026-06-19T09:00:00Z</dcterms:created>
  <dcterms:modified xsi:type="dcterms:W3CDTF">2026-06-19T09:00:00Z</dcterms:modified>
  <cp:category>GMP CSV</cp:category>
</cp:coreProperties>
</file>