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QCLabOne 2.0 Intended Use Statement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QCL-2026-IUS-001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Project Initiation</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2026-02-20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QCL-2026-IUS-001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 Initiation</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2026-02-20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Formal intended-use statement</w:t>
      </w:r>
    </w:p>
    <w:p>
      <w:pPr>
        <w:spacing w:after="120" w:line="300" w:lineRule="auto"/>
      </w:pPr>
      <w:r>
        <w:rPr>
          <w:rFonts w:ascii="Calibri" w:hAnsi="Calibri"/>
          <w:b w:val="0"/>
          <w:i w:val="0"/>
          <w:color w:val="000000"/>
          <w:sz w:val="22"/>
        </w:rPr>
        <w:t>QCLabOne 2.0 LIMS/LES is intended to be the controlled GMP computerised system for managing QC laboratory sample lifecycle, approved electronic laboratory execution, result calculation, review, approval, reporting, audit trails, electronic signatures and operational retrieval at Suzhou Sterile Products Manufacturing Site.</w:t>
      </w:r>
    </w:p>
    <w:p>
      <w:pPr>
        <w:spacing w:after="120" w:line="300" w:lineRule="auto"/>
      </w:pPr>
      <w:r>
        <w:rPr>
          <w:rFonts w:ascii="Calibri" w:hAnsi="Calibri"/>
          <w:b w:val="0"/>
          <w:i w:val="0"/>
          <w:color w:val="000000"/>
          <w:sz w:val="22"/>
        </w:rPr>
        <w:t>It supports quality-control evidence used for material disposition, batch-release support, stability evaluation, environmental-monitoring review and regulatory inspection. It is a high GxP-impact system.</w:t>
      </w:r>
    </w:p>
    <w:p>
      <w:pPr>
        <w:pStyle w:val="Heading1"/>
      </w:pPr>
      <w:r>
        <w:t>2. Official record boundaries</w:t>
      </w:r>
    </w:p>
    <w:tbl>
      <w:tblPr>
        <w:tblStyle w:val="TableGrid"/>
        <w:tblW w:type="dxa" w:w="9360"/>
        <w:tblLayout w:type="fixed"/>
        <w:tblLook w:firstColumn="1" w:firstRow="1" w:lastColumn="0" w:lastRow="0" w:noHBand="0" w:noVBand="1" w:val="04A0"/>
        <w:tblInd w:w="120" w:type="dxa"/>
      </w:tblPr>
      <w:tblGrid>
        <w:gridCol w:w="3466"/>
        <w:gridCol w:w="2080"/>
        <w:gridCol w:w="3814"/>
      </w:tblGrid>
      <w:tr>
        <w:trPr>
          <w:tblHeader w:val="true"/>
        </w:trPr>
        <w:tc>
          <w:tcPr>
            <w:tcW w:type="dxa" w:w="346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Record/data</w:t>
            </w:r>
          </w:p>
        </w:tc>
        <w:tc>
          <w:tcPr>
            <w:tcW w:type="dxa" w:w="208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Official source</w:t>
            </w:r>
          </w:p>
        </w:tc>
        <w:tc>
          <w:tcPr>
            <w:tcW w:type="dxa" w:w="381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QCLabOne responsibility</w:t>
            </w:r>
          </w:p>
        </w:tc>
      </w:tr>
      <w:tr>
        <w:tc>
          <w:tcPr>
            <w:tcW w:type="dxa" w:w="34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Sample identity, custody, assignments and status</w:t>
            </w:r>
          </w:p>
        </w:tc>
        <w:tc>
          <w:tcPr>
            <w:tcW w:type="dxa" w:w="20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w:t>
            </w:r>
          </w:p>
        </w:tc>
        <w:tc>
          <w:tcPr>
            <w:tcW w:type="dxa" w:w="381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Create, control, retain and report</w:t>
            </w:r>
          </w:p>
        </w:tc>
      </w:tr>
      <w:tr>
        <w:tc>
          <w:tcPr>
            <w:tcW w:type="dxa" w:w="34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LES observations, manual entries and calculations</w:t>
            </w:r>
          </w:p>
        </w:tc>
        <w:tc>
          <w:tcPr>
            <w:tcW w:type="dxa" w:w="20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w:t>
            </w:r>
          </w:p>
        </w:tc>
        <w:tc>
          <w:tcPr>
            <w:tcW w:type="dxa" w:w="381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Official electronic test record</w:t>
            </w:r>
          </w:p>
        </w:tc>
      </w:tr>
      <w:tr>
        <w:tc>
          <w:tcPr>
            <w:tcW w:type="dxa" w:w="34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Chromatographic raw/processed data</w:t>
            </w:r>
          </w:p>
        </w:tc>
        <w:tc>
          <w:tcPr>
            <w:tcW w:type="dxa" w:w="20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ChromLink CDS/SDMS</w:t>
            </w:r>
          </w:p>
        </w:tc>
        <w:tc>
          <w:tcPr>
            <w:tcW w:type="dxa" w:w="381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Store approved numeric result and stable source link; do not replace CDS raw data</w:t>
            </w:r>
          </w:p>
        </w:tc>
      </w:tr>
      <w:tr>
        <w:tc>
          <w:tcPr>
            <w:tcW w:type="dxa" w:w="34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OOS/OOT investigation record</w:t>
            </w:r>
          </w:p>
        </w:tc>
        <w:tc>
          <w:tcPr>
            <w:tcW w:type="dxa" w:w="20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QualiTrack eQMS</w:t>
            </w:r>
          </w:p>
        </w:tc>
        <w:tc>
          <w:tcPr>
            <w:tcW w:type="dxa" w:w="381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Create/link case and display case status; eQMS remains official investigation record</w:t>
            </w:r>
          </w:p>
        </w:tc>
      </w:tr>
      <w:tr>
        <w:tc>
          <w:tcPr>
            <w:tcW w:type="dxa" w:w="34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Material/batch master and final ERP release status</w:t>
            </w:r>
          </w:p>
        </w:tc>
        <w:tc>
          <w:tcPr>
            <w:tcW w:type="dxa" w:w="20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SAP</w:t>
            </w:r>
          </w:p>
        </w:tc>
        <w:tc>
          <w:tcPr>
            <w:tcW w:type="dxa" w:w="381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Receive source data and return QC disposition support; QCLabOne is not ERP batch-release system</w:t>
            </w:r>
          </w:p>
        </w:tc>
      </w:tr>
      <w:tr>
        <w:tc>
          <w:tcPr>
            <w:tcW w:type="dxa" w:w="346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Retired Legacy LIMS records</w:t>
            </w:r>
          </w:p>
        </w:tc>
        <w:tc>
          <w:tcPr>
            <w:tcW w:type="dxa" w:w="20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ArchiveVault after acceptance</w:t>
            </w:r>
          </w:p>
        </w:tc>
        <w:tc>
          <w:tcPr>
            <w:tcW w:type="dxa" w:w="381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Provide searchable index/link and inspection retrieval</w:t>
            </w:r>
          </w:p>
        </w:tc>
      </w:tr>
    </w:tbl>
    <w:p>
      <w:pPr>
        <w:spacing w:after="80"/>
      </w:pPr>
    </w:p>
    <w:p>
      <w:pPr>
        <w:pStyle w:val="Heading1"/>
      </w:pPr>
      <w:r>
        <w:t>3. Users and approved activities</w:t>
      </w:r>
    </w:p>
    <w:tbl>
      <w:tblPr>
        <w:tblStyle w:val="TableGrid"/>
        <w:tblW w:type="dxa" w:w="9360"/>
        <w:tblLayout w:type="fixed"/>
        <w:tblLook w:firstColumn="1" w:firstRow="1" w:lastColumn="0" w:lastRow="0" w:noHBand="0" w:noVBand="1" w:val="04A0"/>
        <w:tblInd w:w="120" w:type="dxa"/>
      </w:tblPr>
      <w:tblGrid>
        <w:gridCol w:w="2496"/>
        <w:gridCol w:w="6864"/>
      </w:tblGrid>
      <w:tr>
        <w:trPr>
          <w:tblHeader w:val="true"/>
        </w:trPr>
        <w:tc>
          <w:tcPr>
            <w:tcW w:type="dxa" w:w="249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686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Approved intended activities</w:t>
            </w:r>
          </w:p>
        </w:tc>
      </w:tr>
      <w:tr>
        <w:tc>
          <w:tcPr>
            <w:tcW w:type="dxa" w:w="24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Analyst</w:t>
            </w:r>
          </w:p>
        </w:tc>
        <w:tc>
          <w:tcPr>
            <w:tcW w:type="dxa" w:w="686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Receive/execute assigned work, capture data, review own entry and electronically submit</w:t>
            </w:r>
          </w:p>
        </w:tc>
      </w:tr>
      <w:tr>
        <w:tc>
          <w:tcPr>
            <w:tcW w:type="dxa" w:w="24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Reviewer</w:t>
            </w:r>
          </w:p>
        </w:tc>
        <w:tc>
          <w:tcPr>
            <w:tcW w:type="dxa" w:w="686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 source data, calculation, deviations and audit trail; electronically review</w:t>
            </w:r>
          </w:p>
        </w:tc>
      </w:tr>
      <w:tr>
        <w:tc>
          <w:tcPr>
            <w:tcW w:type="dxa" w:w="24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Supervisor</w:t>
            </w:r>
          </w:p>
        </w:tc>
        <w:tc>
          <w:tcPr>
            <w:tcW w:type="dxa" w:w="686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Assign work, resolve workflow exceptions and approve results where authorised</w:t>
            </w:r>
          </w:p>
        </w:tc>
      </w:tr>
      <w:tr>
        <w:tc>
          <w:tcPr>
            <w:tcW w:type="dxa" w:w="24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Reviewer</w:t>
            </w:r>
          </w:p>
        </w:tc>
        <w:tc>
          <w:tcPr>
            <w:tcW w:type="dxa" w:w="686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 critical audit trails/OOS links and approve defined quality decisions</w:t>
            </w:r>
          </w:p>
        </w:tc>
      </w:tr>
      <w:tr>
        <w:tc>
          <w:tcPr>
            <w:tcW w:type="dxa" w:w="24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Administrator</w:t>
            </w:r>
          </w:p>
        </w:tc>
        <w:tc>
          <w:tcPr>
            <w:tcW w:type="dxa" w:w="686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Maintain approved configuration, roles and controlled lists under change control; no routine final-result approval</w:t>
            </w:r>
          </w:p>
        </w:tc>
      </w:tr>
      <w:tr>
        <w:tc>
          <w:tcPr>
            <w:tcW w:type="dxa" w:w="24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IT Support</w:t>
            </w:r>
          </w:p>
        </w:tc>
        <w:tc>
          <w:tcPr>
            <w:tcW w:type="dxa" w:w="686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Support infrastructure, monitoring, backup/restore, security and incidents; no routine content editing</w:t>
            </w:r>
          </w:p>
        </w:tc>
      </w:tr>
      <w:tr>
        <w:tc>
          <w:tcPr>
            <w:tcW w:type="dxa" w:w="249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Vendor Support</w:t>
            </w:r>
          </w:p>
        </w:tc>
        <w:tc>
          <w:tcPr>
            <w:tcW w:type="dxa" w:w="686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Time-limited approved support only; no autonomous production configuration change</w:t>
            </w:r>
          </w:p>
        </w:tc>
      </w:tr>
    </w:tbl>
    <w:p>
      <w:pPr>
        <w:spacing w:after="80"/>
      </w:pPr>
    </w:p>
    <w:p>
      <w:pPr>
        <w:pStyle w:val="Heading1"/>
      </w:pPr>
      <w:r>
        <w:t>4. Not intended uses</w:t>
      </w:r>
    </w:p>
    <w:p>
      <w:pPr>
        <w:pStyle w:val="ListBullet"/>
        <w:spacing w:after="80" w:line="300" w:lineRule="auto"/>
      </w:pPr>
      <w:r>
        <w:rPr>
          <w:rFonts w:ascii="Calibri" w:hAnsi="Calibri"/>
          <w:color w:val="000000"/>
          <w:sz w:val="22"/>
        </w:rPr>
        <w:t>It does not validate analytical methods or replace method-transfer evidence.</w:t>
      </w:r>
    </w:p>
    <w:p>
      <w:pPr>
        <w:pStyle w:val="ListBullet"/>
        <w:spacing w:after="80" w:line="300" w:lineRule="auto"/>
      </w:pPr>
      <w:r>
        <w:rPr>
          <w:rFonts w:ascii="Calibri" w:hAnsi="Calibri"/>
          <w:color w:val="000000"/>
          <w:sz w:val="22"/>
        </w:rPr>
        <w:t>It does not serve as the official source for chromatographic raw data.</w:t>
      </w:r>
    </w:p>
    <w:p>
      <w:pPr>
        <w:pStyle w:val="ListBullet"/>
        <w:spacing w:after="80" w:line="300" w:lineRule="auto"/>
      </w:pPr>
      <w:r>
        <w:rPr>
          <w:rFonts w:ascii="Calibri" w:hAnsi="Calibri"/>
          <w:color w:val="000000"/>
          <w:sz w:val="22"/>
        </w:rPr>
        <w:t>It does not perform final ERP batch release.</w:t>
      </w:r>
    </w:p>
    <w:p>
      <w:pPr>
        <w:pStyle w:val="ListBullet"/>
        <w:spacing w:after="80" w:line="300" w:lineRule="auto"/>
      </w:pPr>
      <w:r>
        <w:rPr>
          <w:rFonts w:ascii="Calibri" w:hAnsi="Calibri"/>
          <w:color w:val="000000"/>
          <w:sz w:val="22"/>
        </w:rPr>
        <w:t>It does not allow uncontrolled spreadsheet calculations to determine final GMP results.</w:t>
      </w:r>
    </w:p>
    <w:p>
      <w:pPr>
        <w:pStyle w:val="ListBullet"/>
        <w:spacing w:after="80" w:line="300" w:lineRule="auto"/>
      </w:pPr>
      <w:r>
        <w:rPr>
          <w:rFonts w:ascii="Calibri" w:hAnsi="Calibri"/>
          <w:color w:val="000000"/>
          <w:sz w:val="22"/>
        </w:rPr>
        <w:t>It does not store patient or clinical-subject data.</w:t>
      </w:r>
    </w:p>
    <w:p>
      <w:pPr>
        <w:pStyle w:val="ListBullet"/>
        <w:spacing w:after="80" w:line="300" w:lineRule="auto"/>
      </w:pPr>
      <w:r>
        <w:rPr>
          <w:rFonts w:ascii="Calibri" w:hAnsi="Calibri"/>
          <w:color w:val="000000"/>
          <w:sz w:val="22"/>
        </w:rPr>
        <w:t>It does not authorise retirement of legacy records before archive acceptance.</w:t>
      </w:r>
    </w:p>
    <w:p>
      <w:pPr>
        <w:pStyle w:val="Heading1"/>
      </w:pPr>
      <w:r>
        <w:t>5. Fitness-for-use criteria</w:t>
      </w:r>
    </w:p>
    <w:p>
      <w:pPr>
        <w:spacing w:after="120" w:line="300" w:lineRule="auto"/>
      </w:pPr>
      <w:r>
        <w:rPr>
          <w:rFonts w:ascii="Calibri" w:hAnsi="Calibri"/>
          <w:b w:val="0"/>
          <w:i w:val="0"/>
          <w:color w:val="000000"/>
          <w:sz w:val="22"/>
        </w:rPr>
        <w:t>The system is fit for intended use when the 72 approved URS are traced to risk controls and passing verification; migration and archive criteria are met; procedures/training are effective; production configuration is baselined; and the VSR confirms no unacceptable residual risk.</w:t>
      </w:r>
    </w:p>
    <w:p>
      <w:pPr>
        <w:pStyle w:val="Heading1"/>
      </w:pPr>
      <w:r>
        <w:t>6. Misuse scenarios and required controls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Potential misuse</w:t>
            </w:r>
          </w:p>
        </w:tc>
        <w:tc>
          <w:tcPr>
            <w:tcW w:type="dxa" w:w="468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Control expectation</w:t>
            </w:r>
          </w:p>
        </w:tc>
      </w:tr>
      <w:tr>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Using QCLabOne as the official CDS raw-data repository</w:t>
            </w:r>
          </w:p>
        </w:tc>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CDS source-link rules, user training and review checks confirm raw data remain in ChromLink</w:t>
            </w:r>
          </w:p>
        </w:tc>
      </w:tr>
      <w:tr>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Using unapproved spreadsheet calculations for final results</w:t>
            </w:r>
          </w:p>
        </w:tc>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Controlled calculation rules, access restrictions and periodic spreadsheet remediation review</w:t>
            </w:r>
          </w:p>
        </w:tc>
      </w:tr>
      <w:tr>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Granting administrator access to routine approvers</w:t>
            </w:r>
          </w:p>
        </w:tc>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 matrix, segregation-of-duties review and privileged access monitoring</w:t>
            </w:r>
          </w:p>
        </w:tc>
      </w:tr>
      <w:tr>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Correcting signed records without invalidating approval</w:t>
            </w:r>
          </w:p>
        </w:tc>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Workflow rule requires reason, audit trail, re-review and new electronic signature</w:t>
            </w:r>
          </w:p>
        </w:tc>
      </w:tr>
      <w:tr>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Continuing manual contingency after interface restoration</w:t>
            </w:r>
          </w:p>
        </w:tc>
        <w:tc>
          <w:tcPr>
            <w:tcW w:type="dxa" w:w="468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Reconciliation and supervisor/QA review before closure of the outage record</w:t>
            </w:r>
          </w:p>
        </w:tc>
      </w:tr>
    </w:tbl>
    <w:p>
      <w:pPr>
        <w:spacing w:after="80"/>
      </w:pPr>
    </w:p>
    <w:p>
      <w:pPr>
        <w:pStyle w:val="Heading1"/>
      </w:pPr>
      <w:r>
        <w:t>7. Intended-use traceability anchors</w:t>
      </w:r>
    </w:p>
    <w:tbl>
      <w:tblPr>
        <w:tblStyle w:val="TableGrid"/>
        <w:tblW w:type="dxa" w:w="9360"/>
        <w:tblLayout w:type="fixed"/>
        <w:tblLook w:firstColumn="1" w:firstRow="1" w:lastColumn="0" w:lastRow="0" w:noHBand="0" w:noVBand="1" w:val="04A0"/>
        <w:tblInd w:w="120" w:type="dxa"/>
      </w:tblPr>
      <w:tblGrid>
        <w:gridCol w:w="3941"/>
        <w:gridCol w:w="5419"/>
      </w:tblGrid>
      <w:tr>
        <w:trPr>
          <w:tblHeader w:val="true"/>
        </w:trPr>
        <w:tc>
          <w:tcPr>
            <w:tcW w:type="dxa" w:w="394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Intended-use element</w:t>
            </w:r>
          </w:p>
        </w:tc>
        <w:tc>
          <w:tcPr>
            <w:tcW w:type="dxa" w:w="5419"/>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Downstream evidence</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Sample lifecycle control</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URS sample management requirements, PQ end-to-end sample scenarios and SOP training</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 laboratory execution</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LES configuration, OQ challenge scripts, audit trail and e-signature tests</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Calculation and limit evaluation</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Report/calculation specification, independent verification and regression testing</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Regulated review and approval</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Role/access matrix, workflow tests and reviewer training records</w:t>
            </w:r>
          </w:p>
        </w:tc>
      </w:tr>
      <w:tr>
        <w:tc>
          <w:tcPr>
            <w:tcW w:type="dxa" w:w="394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Inspection retrieval</w:t>
            </w:r>
          </w:p>
        </w:tc>
        <w:tc>
          <w:tcPr>
            <w:tcW w:type="dxa" w:w="5419"/>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Archive/export specification, retrieval tests and periodic archive review</w:t>
            </w:r>
          </w:p>
        </w:tc>
      </w:tr>
    </w:tbl>
    <w:p>
      <w:pPr>
        <w:spacing w:after="80"/>
      </w:pPr>
    </w:p>
    <w:p>
      <w:pPr>
        <w:pStyle w:val="Heading1"/>
      </w:pPr>
      <w:r>
        <w:t>8.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QCL-2026-CHA-001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Project Charter](005_Project_Charter.md)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QCL-2026-SCP-001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Project Scope Statement](006_Project_Scope_Statement.md)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QCL-2026-BPD-001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Business Process Description](008_Business_Process_Description.md)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QCL-2026-GXP-001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GxP Impact Assessment](009_GxP_Impact_Assessment.md)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QCL-2026-CLA-001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Classification and Criticality Assessment](010_System_Classification_and_Criticality_Assessment.md)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QCL-2026-DIRA-001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Integrity Risk Assessment](012_Data_Integrity_Risk_Assessment.md)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QCL-2026-ERES-001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[21 CFR Part 11 and EU Annex 11 Assessment](013_21_CFR_Part_11_and_EU_Annex_11_Assessment.md)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QCL-2026-URS-001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Requirements Specification](022_User_Requirements_Specification.md)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160"/>
        <w:gridCol w:w="3038"/>
        <w:gridCol w:w="3162"/>
      </w:tblGrid>
      <w:tr>
        <w:trPr>
          <w:tblHeader w:val="true"/>
        </w:trPr>
        <w:tc>
          <w:tcPr>
            <w:tcW w:type="dxa" w:w="3160"/>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3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16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CSV Project Manager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 Business Process Owner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160"/>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3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 Sponsor</w:t>
            </w:r>
          </w:p>
        </w:tc>
        <w:tc>
          <w:tcPr>
            <w:tcW w:type="dxa" w:w="316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2026-02-20</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QCL-2026-IUS-001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QCL-2026-IUS-001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QCLabOne 2.0 Intended Use Statement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