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95959"/>
          <w:sz w:val="19"/>
        </w:rPr>
        <w:t>GMP CSV Controlled Document</w:t>
      </w:r>
    </w:p>
    <w:p>
      <w:pPr>
        <w:spacing w:after="80"/>
      </w:pPr>
      <w:r>
        <w:rPr>
          <w:rFonts w:ascii="Calibri" w:hAnsi="Calibri"/>
          <w:b/>
          <w:color w:val="0B2545"/>
          <w:sz w:val="44"/>
        </w:rPr>
        <w:t>QCLabOne 2.0 Business Process Description</w:t>
      </w:r>
    </w:p>
    <w:p>
      <w:pPr>
        <w:spacing w:after="200"/>
      </w:pPr>
      <w:r>
        <w:rPr>
          <w:rFonts w:ascii="Calibri" w:hAnsi="Calibri"/>
          <w:color w:val="595959"/>
          <w:sz w:val="23"/>
        </w:rPr>
        <w:t>QCLabOne 2.0 QC Laboratory Digital Platform Replacement Project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Field</w:t>
            </w:r>
          </w:p>
        </w:tc>
        <w:tc>
          <w:tcPr>
            <w:tcW w:type="dxa" w:w="6660"/>
            <w:shd w:fill="D9EAF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number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QCL-2026-BPD-001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System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Lifecycle phase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 Initiation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Effective/record date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2026-02-20</w:t>
            </w:r>
          </w:p>
        </w:tc>
      </w:tr>
      <w:tr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Status</w:t>
            </w:r>
          </w:p>
        </w:tc>
        <w:tc>
          <w:tcPr>
            <w:tcW w:type="dxa" w:w="66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7F9F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/>
            <w:r>
              <w:rPr>
                <w:rFonts w:ascii="Calibri" w:hAnsi="Calibri"/>
                <w:b w:val="0"/>
                <w:color w:val="595959"/>
                <w:sz w:val="19"/>
              </w:rPr>
              <w:t>Use notice: This Markdown file is a fully populated fictional CSV training case. It is not an executed GMP record and does not replace company procedures, approved signatures, supplier evidence, or site-specific risk decisions.</w:t>
            </w:r>
          </w:p>
        </w:tc>
      </w:tr>
    </w:tbl>
    <w:p>
      <w:pPr>
        <w:spacing w:after="80"/>
      </w:pPr>
    </w:p>
    <w:p>
      <w:pPr>
        <w:pStyle w:val="Heading1"/>
      </w:pPr>
      <w:r>
        <w:t>Document control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86"/>
        <w:gridCol w:w="6774"/>
      </w:tblGrid>
      <w:tr>
        <w:trPr>
          <w:tblHeader w:val="true"/>
        </w:trPr>
        <w:tc>
          <w:tcPr>
            <w:tcW w:type="dxa" w:w="258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Field</w:t>
            </w:r>
          </w:p>
        </w:tc>
        <w:tc>
          <w:tcPr>
            <w:tcW w:type="dxa" w:w="677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Value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Document number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QCL-2026-BPD-001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Company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NovaSterile Pharma Co., Ltd.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Site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Suzhou Sterile Products Manufacturing Site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QC Laboratory Digital Platform Replacement Project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2.0 LIMS/LES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Lifecycle phase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 Initiation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Version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Effective/record date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2026-02-20</w:t>
            </w:r>
          </w:p>
        </w:tc>
      </w:tr>
      <w:tr>
        <w:tc>
          <w:tcPr>
            <w:tcW w:type="dxa" w:w="258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Case status</w:t>
            </w:r>
          </w:p>
        </w:tc>
        <w:tc>
          <w:tcPr>
            <w:tcW w:type="dxa" w:w="677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Governing references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Computerised Systems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China GMP (2010 Revision), Appendix: Qualification and Validation (effective 1 December 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11: Computerised Systems (2011)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EU GMP Annex 15: Qualification and Validation (2015)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21 CFR Part 11: Electronic Records; Electronic Signatures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FDA Guidance: Part 11, Electronic Records; Electronic Signatures — Scope and Application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PIC/S PI 041-1: Good Practices for Data Management and Integrity in Regulated GMP/GDP Environments (2021)</w:t>
      </w:r>
    </w:p>
    <w:p>
      <w:pPr>
        <w:pStyle w:val="ListBullet"/>
        <w:spacing w:after="80" w:line="300" w:lineRule="auto"/>
      </w:pPr>
      <w:r>
        <w:rPr>
          <w:rFonts w:ascii="Calibri" w:hAnsi="Calibri"/>
          <w:color w:val="000000"/>
          <w:sz w:val="22"/>
        </w:rPr>
        <w:t>ISPE GAMP 5, Second Edition (2022), used as non-binding industry guidance</w:t>
      </w:r>
    </w:p>
    <w:p>
      <w:pPr>
        <w:pStyle w:val="Heading1"/>
      </w:pPr>
      <w:r>
        <w:t>1. Purpose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This document describes the current and future QC process and identifies the business/data control points used in requirements, risk assessment, configuration and testing.</w:t>
      </w:r>
    </w:p>
    <w:p>
      <w:pPr>
        <w:pStyle w:val="Heading1"/>
      </w:pPr>
      <w:r>
        <w:t>2. Current state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Legacy LIMS 6.2 manages sample login and selected results; CDS/SDMS stores chromatographic source data; spreadsheets track stability pulls and selected inventories; paper worksheets support wet-chemistry execution. Reviewers assemble evidence across repositories, and selected values are manually transcribed.</w:t>
      </w:r>
    </w:p>
    <w:p>
      <w:pPr>
        <w:pStyle w:val="Heading1"/>
      </w:pPr>
      <w:r>
        <w:t>3. Future-state process</w:t>
      </w:r>
    </w:p>
    <w:p>
      <w:pPr>
        <w:spacing w:after="40"/>
      </w:pPr>
      <w:r>
        <w:rPr>
          <w:rFonts w:ascii="Calibri" w:hAnsi="Calibri"/>
          <w:b/>
          <w:color w:val="595959"/>
          <w:sz w:val="18"/>
        </w:rPr>
        <w:t>Diagram source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shd w:fill="F4F6F9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</w:pPr>
            <w:r>
              <w:rPr>
                <w:rFonts w:ascii="Consolas" w:hAnsi="Consolas"/>
                <w:color w:val="000000"/>
                <w:sz w:val="17"/>
              </w:rPr>
            </w:r>
            <w:r>
              <w:rPr>
                <w:rFonts w:ascii="Consolas" w:hAnsi="Consolas"/>
                <w:b w:val="0"/>
                <w:color w:val="000000"/>
                <w:sz w:val="17"/>
              </w:rPr>
              <w:t>flowchart TD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A[SAP creates sample request] --&gt; B[QCLabOne validates message and creates sample]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B --&gt; C[QC receives, labels and records condition]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C --&gt; D[Effective specification assigns tests]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D --&gt; E[Supervisor assigns qualified analyst]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E --&gt; F[Analyst executes approved LES]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F --&gt; G{Data source}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G --&gt;|Balance/pH/TOC| H[Direct instrument capture]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G --&gt;|Chromatography| I[Approved CDS result and source link]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G --&gt;|Allowed manual entry| J[Reason and independent verification]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H --&gt; K[Controlled calculation and limit evaluation]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I --&gt; K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J --&gt; K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K --&gt; L{Within specification?}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L --&gt;|No/OOT| M[Create eQMS case and link status]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L --&gt;|Yes| N[Analyst e-signs submission]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M --&gt; N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N --&gt; O[Independent review incl. audit trail]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O --&gt; P[Supervisor/QA approval]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P --&gt; Q[Return QC status to SAP]</w:t>
            </w:r>
          </w:p>
          <w:p>
            <w:pPr>
              <w:spacing w:after="0" w:line="276" w:lineRule="auto"/>
            </w:pPr>
            <w:r>
              <w:rPr>
                <w:rFonts w:ascii="Consolas" w:hAnsi="Consolas"/>
                <w:b w:val="0"/>
                <w:color w:val="000000"/>
                <w:sz w:val="17"/>
              </w:rPr>
              <w:t>Q --&gt; R[Retain or archive record package]</w:t>
            </w:r>
          </w:p>
        </w:tc>
      </w:tr>
    </w:tbl>
    <w:p>
      <w:pPr>
        <w:pStyle w:val="Heading1"/>
      </w:pPr>
      <w:r>
        <w:t>4. Normal process controls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841"/>
        <w:gridCol w:w="2734"/>
        <w:gridCol w:w="5785"/>
      </w:tblGrid>
      <w:tr>
        <w:trPr>
          <w:tblHeader w:val="true"/>
        </w:trPr>
        <w:tc>
          <w:tcPr>
            <w:tcW w:type="dxa" w:w="84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Step</w:t>
            </w:r>
          </w:p>
        </w:tc>
        <w:tc>
          <w:tcPr>
            <w:tcW w:type="dxa" w:w="273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Activity</w:t>
            </w:r>
          </w:p>
        </w:tc>
        <w:tc>
          <w:tcPr>
            <w:tcW w:type="dxa" w:w="578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control</w:t>
            </w:r>
          </w:p>
        </w:tc>
      </w:tr>
      <w:tr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Receive SAP request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Schema validation, unique message ID, duplicate prevention</w:t>
            </w:r>
          </w:p>
        </w:tc>
      </w:tr>
      <w:tr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Generate sample/barcode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Non-reusable identity and verified print</w:t>
            </w:r>
          </w:p>
        </w:tc>
      </w:tr>
      <w:tr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3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Receive and custody sample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User/time/location/condition/quantity and exception reason</w:t>
            </w:r>
          </w:p>
        </w:tc>
      </w:tr>
      <w:tr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4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Assign tests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Only effective approved specification/method</w:t>
            </w:r>
          </w:p>
        </w:tc>
      </w:tr>
      <w:tr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5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Assign analyst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Role and qualification check; qualification status maintained in LIMS master data</w:t>
            </w:r>
          </w:p>
        </w:tc>
      </w:tr>
      <w:tr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6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Execute LES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version, mandatory steps, direct capture and audit trail</w:t>
            </w:r>
          </w:p>
        </w:tc>
      </w:tr>
      <w:tr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7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Calculate/evaluate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Controlled formula, units, rounding and limits</w:t>
            </w:r>
          </w:p>
        </w:tc>
      </w:tr>
      <w:tr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8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Investigate exception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eQMS case creation, case link and workflow hold</w:t>
            </w:r>
          </w:p>
        </w:tc>
      </w:tr>
      <w:tr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9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Submit/review/approve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Unique e-signatures, segregation and audit-trail review</w:t>
            </w:r>
          </w:p>
        </w:tc>
      </w:tr>
      <w:tr>
        <w:tc>
          <w:tcPr>
            <w:tcW w:type="dxa" w:w="84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10</w:t>
            </w:r>
          </w:p>
        </w:tc>
        <w:tc>
          <w:tcPr>
            <w:tcW w:type="dxa" w:w="273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Return status/archive</w:t>
            </w:r>
          </w:p>
        </w:tc>
        <w:tc>
          <w:tcPr>
            <w:tcW w:type="dxa" w:w="578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Acknowledged SAP message and retention-controlled record package</w:t>
            </w:r>
          </w:p>
        </w:tc>
      </w:tr>
    </w:tbl>
    <w:p>
      <w:pPr>
        <w:spacing w:after="80"/>
      </w:pPr>
    </w:p>
    <w:p>
      <w:pPr>
        <w:pStyle w:val="Heading1"/>
      </w:pPr>
      <w:r>
        <w:t>5. Exception processes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925"/>
        <w:gridCol w:w="6435"/>
      </w:tblGrid>
      <w:tr>
        <w:trPr>
          <w:tblHeader w:val="true"/>
        </w:trPr>
        <w:tc>
          <w:tcPr>
            <w:tcW w:type="dxa" w:w="292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Exception</w:t>
            </w:r>
          </w:p>
        </w:tc>
        <w:tc>
          <w:tcPr>
            <w:tcW w:type="dxa" w:w="6435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Required flow</w:t>
            </w:r>
          </w:p>
        </w:tc>
      </w:tr>
      <w:tr>
        <w:tc>
          <w:tcPr>
            <w:tcW w:type="dxa" w:w="29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Sample rejected/damaged</w:t>
            </w:r>
          </w:p>
        </w:tc>
        <w:tc>
          <w:tcPr>
            <w:tcW w:type="dxa" w:w="6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 condition and reason; notify requestor; cancel/re-sample under approval</w:t>
            </w:r>
          </w:p>
        </w:tc>
      </w:tr>
      <w:tr>
        <w:tc>
          <w:tcPr>
            <w:tcW w:type="dxa" w:w="29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outage</w:t>
            </w:r>
          </w:p>
        </w:tc>
        <w:tc>
          <w:tcPr>
            <w:tcW w:type="dxa" w:w="6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Use approved contingency form; independent check; reconcile and mark manual entry after restoration</w:t>
            </w:r>
          </w:p>
        </w:tc>
      </w:tr>
      <w:tr>
        <w:tc>
          <w:tcPr>
            <w:tcW w:type="dxa" w:w="29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Instrument message error</w:t>
            </w:r>
          </w:p>
        </w:tc>
        <w:tc>
          <w:tcPr>
            <w:tcW w:type="dxa" w:w="6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Hold in exception queue; investigate source/unit/context; authorised reprocess only</w:t>
            </w:r>
          </w:p>
        </w:tc>
      </w:tr>
      <w:tr>
        <w:tc>
          <w:tcPr>
            <w:tcW w:type="dxa" w:w="29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OOS/OOT</w:t>
            </w:r>
          </w:p>
        </w:tc>
        <w:tc>
          <w:tcPr>
            <w:tcW w:type="dxa" w:w="6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Place result/sample on hold; create one eQMS case; retain original data; follow investigation SOP</w:t>
            </w:r>
          </w:p>
        </w:tc>
      </w:tr>
      <w:tr>
        <w:tc>
          <w:tcPr>
            <w:tcW w:type="dxa" w:w="29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Repeat/retest</w:t>
            </w:r>
          </w:p>
        </w:tc>
        <w:tc>
          <w:tcPr>
            <w:tcW w:type="dxa" w:w="6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Retain original attempt; document authorisation and scientific rationale; no overwriting</w:t>
            </w:r>
          </w:p>
        </w:tc>
      </w:tr>
      <w:tr>
        <w:tc>
          <w:tcPr>
            <w:tcW w:type="dxa" w:w="29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Post-signature correction</w:t>
            </w:r>
          </w:p>
        </w:tc>
        <w:tc>
          <w:tcPr>
            <w:tcW w:type="dxa" w:w="6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Invalidate affected approval, capture reason/audit trail and re-route review</w:t>
            </w:r>
          </w:p>
        </w:tc>
      </w:tr>
      <w:tr>
        <w:tc>
          <w:tcPr>
            <w:tcW w:type="dxa" w:w="29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Specification change</w:t>
            </w:r>
          </w:p>
        </w:tc>
        <w:tc>
          <w:tcPr>
            <w:tcW w:type="dxa" w:w="6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Effective-date future use; completed records retain historical version</w:t>
            </w:r>
          </w:p>
        </w:tc>
      </w:tr>
      <w:tr>
        <w:tc>
          <w:tcPr>
            <w:tcW w:type="dxa" w:w="292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Record retrieval failure</w:t>
            </w:r>
          </w:p>
        </w:tc>
        <w:tc>
          <w:tcPr>
            <w:tcW w:type="dxa" w:w="643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Open incident; use redundant archive copy; assess batch/inspection impact</w:t>
            </w:r>
          </w:p>
        </w:tc>
      </w:tr>
    </w:tbl>
    <w:p>
      <w:pPr>
        <w:spacing w:after="80"/>
      </w:pPr>
    </w:p>
    <w:p>
      <w:pPr>
        <w:pStyle w:val="Heading1"/>
      </w:pPr>
      <w:r>
        <w:t>6. Data-integrity control points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000000"/>
          <w:sz w:val="22"/>
        </w:rPr>
        <w:t>Critical controls include unique identity, contemporaneous timestamps, source metadata, immutable history, reason for change, independent review, electronic-signature binding, exception queues, reconciliation and long-term availability.</w:t>
      </w:r>
    </w:p>
    <w:p>
      <w:pPr>
        <w:pStyle w:val="Heading1"/>
      </w:pPr>
      <w:r>
        <w:t>7. Role-based process responsibilities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664"/>
        <w:gridCol w:w="2736"/>
        <w:gridCol w:w="3960"/>
      </w:tblGrid>
      <w:tr>
        <w:trPr>
          <w:tblHeader w:val="true"/>
        </w:trPr>
        <w:tc>
          <w:tcPr>
            <w:tcW w:type="dxa" w:w="266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Process stage</w:t>
            </w:r>
          </w:p>
        </w:tc>
        <w:tc>
          <w:tcPr>
            <w:tcW w:type="dxa" w:w="2736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Primary role</w:t>
            </w:r>
          </w:p>
        </w:tc>
        <w:tc>
          <w:tcPr>
            <w:tcW w:type="dxa" w:w="39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Independent/quality check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Sample request and login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Sample Coordinator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duplicate and completeness checks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Method/specification assignment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Supervisor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Effective-version control and change history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execution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Qualified Analyst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Qualification check and review of critical entries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Result calculation and exception hold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workflow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Reviewer challenge of calculation, limits and OOS/OOT routing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 and approval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Reviewer / QC Supervisor / QA Reviewer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Segregation of duties and audit-trail review</w:t>
            </w:r>
          </w:p>
        </w:tc>
      </w:tr>
      <w:tr>
        <w:tc>
          <w:tcPr>
            <w:tcW w:type="dxa" w:w="266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Status return and archive</w:t>
            </w:r>
          </w:p>
        </w:tc>
        <w:tc>
          <w:tcPr>
            <w:tcW w:type="dxa" w:w="273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System Owner / Records Management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acknowledgement and retrieval verification</w:t>
            </w:r>
          </w:p>
        </w:tc>
      </w:tr>
    </w:tbl>
    <w:p>
      <w:pPr>
        <w:spacing w:after="80"/>
      </w:pPr>
    </w:p>
    <w:p>
      <w:pPr>
        <w:pStyle w:val="Heading1"/>
      </w:pPr>
      <w:r>
        <w:t>8. Key data objects and state model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440"/>
        <w:gridCol w:w="3960"/>
        <w:gridCol w:w="3960"/>
      </w:tblGrid>
      <w:tr>
        <w:trPr>
          <w:tblHeader w:val="true"/>
        </w:trPr>
        <w:tc>
          <w:tcPr>
            <w:tcW w:type="dxa" w:w="144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Object</w:t>
            </w:r>
          </w:p>
        </w:tc>
        <w:tc>
          <w:tcPr>
            <w:tcW w:type="dxa" w:w="39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Key states</w:t>
            </w:r>
          </w:p>
        </w:tc>
        <w:tc>
          <w:tcPr>
            <w:tcW w:type="dxa" w:w="39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Control note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Sample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Created, received, in test, on hold, reviewed, approved, cancelled, archived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Status changes are timestamped, attributable and reason-controlled where required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Test result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Draft, submitted, review queried, approved, invalidated, superseded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Original entries and invalidated values remain available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Specification/method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Draft, approved effective, retired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 records retain historical effective version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Interface message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Received, accepted, rejected, pending retry, reconciled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Message ID and acknowledgement prevent duplicate or lost transactions</w:t>
            </w:r>
          </w:p>
        </w:tc>
      </w:tr>
      <w:tr>
        <w:tc>
          <w:tcPr>
            <w:tcW w:type="dxa" w:w="144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Investigation link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Created, awaiting eQMS status, closed, reopened</w:t>
            </w:r>
          </w:p>
        </w:tc>
        <w:tc>
          <w:tcPr>
            <w:tcW w:type="dxa" w:w="39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QCLabOne does not replace the eQMS investigation record</w:t>
            </w:r>
          </w:p>
        </w:tc>
      </w:tr>
    </w:tbl>
    <w:p>
      <w:pPr>
        <w:spacing w:after="80"/>
      </w:pPr>
    </w:p>
    <w:p>
      <w:pPr>
        <w:pStyle w:val="Heading1"/>
      </w:pPr>
      <w:r>
        <w:t>9. Related documents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224"/>
        <w:gridCol w:w="2038"/>
        <w:gridCol w:w="5098"/>
      </w:tblGrid>
      <w:tr>
        <w:trPr>
          <w:tblHeader w:val="true"/>
        </w:trPr>
        <w:tc>
          <w:tcPr>
            <w:tcW w:type="dxa" w:w="2224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Relationship</w:t>
            </w:r>
          </w:p>
        </w:tc>
        <w:tc>
          <w:tcPr>
            <w:tcW w:type="dxa" w:w="2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 ID</w:t>
            </w:r>
          </w:p>
        </w:tc>
        <w:tc>
          <w:tcPr>
            <w:tcW w:type="dxa" w:w="509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Document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QCL-2026-CHA-001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Charter](005_Project_Charter.md)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QCL-2026-SCP-001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Project Scope Statement](006_Project_Scope_Statement.md)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QCL-2026-IUS-001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Intended Use Statement](007_Intended_Use_Statement.md)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[Preliminary Risk Assessment](011_Preliminary_Risk_Assessment.md)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QCL-2026-DIRA-001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Integrity Risk Assessment](012_Data_Integrity_Risk_Assessment.md)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QCL-2026-URS-001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[User Requirements Specification](022_User_Requirements_Specification.md)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QCL-2026-FS-001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[Functional Specification](023_Functional_Specification.md)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QCL-2026-ICS-001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[Interface Control Specification](027_Interface_Control_Specification.md)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QCL-2026-DDS-001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[Data Flow, Data Dictionary and Metadata Specification](028_Data_Flow_Data_Dictionary_and_Metadata_Specification.md)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QCL-2026-PQ-001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[Performance Qualification and User Acceptance Test Report](050_Performance_Qualification_and_UAT_Report.md)</w:t>
            </w:r>
          </w:p>
        </w:tc>
      </w:tr>
      <w:tr>
        <w:tc>
          <w:tcPr>
            <w:tcW w:type="dxa" w:w="2224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Output</w:t>
            </w:r>
          </w:p>
        </w:tc>
        <w:tc>
          <w:tcPr>
            <w:tcW w:type="dxa" w:w="2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SOP-QC-LIMS-001</w:t>
            </w:r>
          </w:p>
        </w:tc>
        <w:tc>
          <w:tcPr>
            <w:tcW w:type="dxa" w:w="509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[QCLabOne 2.0 User Operation SOP](066_User_Operation_SOP.md)</w:t>
            </w:r>
          </w:p>
        </w:tc>
      </w:tr>
    </w:tbl>
    <w:p>
      <w:pPr>
        <w:spacing w:after="80"/>
      </w:pPr>
    </w:p>
    <w:p>
      <w:pPr>
        <w:pStyle w:val="Heading1"/>
      </w:pPr>
      <w:r>
        <w:t>Approval record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3160"/>
        <w:gridCol w:w="3038"/>
        <w:gridCol w:w="3162"/>
      </w:tblGrid>
      <w:tr>
        <w:trPr>
          <w:tblHeader w:val="true"/>
        </w:trPr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Approval step</w:t>
            </w:r>
          </w:p>
        </w:tc>
        <w:tc>
          <w:tcPr>
            <w:tcW w:type="dxa" w:w="3038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Role</w:t>
            </w:r>
          </w:p>
        </w:tc>
        <w:tc>
          <w:tcPr>
            <w:tcW w:type="dxa" w:w="31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Case outcome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Prepared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CSV Project Manager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Reviewed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QC Business Process Owner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Completed</w:t>
            </w:r>
          </w:p>
        </w:tc>
      </w:tr>
      <w:tr>
        <w:tc>
          <w:tcPr>
            <w:tcW w:type="dxa" w:w="31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by</w:t>
            </w:r>
          </w:p>
        </w:tc>
        <w:tc>
          <w:tcPr>
            <w:tcW w:type="dxa" w:w="3038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Project Sponsor</w:t>
            </w:r>
          </w:p>
        </w:tc>
        <w:tc>
          <w:tcPr>
            <w:tcW w:type="dxa" w:w="31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Approved in fictional case</w:t>
            </w:r>
          </w:p>
        </w:tc>
      </w:tr>
    </w:tbl>
    <w:p>
      <w:pPr>
        <w:spacing w:after="80"/>
      </w:pPr>
    </w:p>
    <w:p>
      <w:pPr>
        <w:pStyle w:val="Heading1"/>
      </w:pPr>
      <w:r>
        <w:t>Revision history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047"/>
        <w:gridCol w:w="1462"/>
        <w:gridCol w:w="5851"/>
      </w:tblGrid>
      <w:tr>
        <w:trPr>
          <w:tblHeader w:val="true"/>
        </w:trPr>
        <w:tc>
          <w:tcPr>
            <w:tcW w:type="dxa" w:w="2047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Version</w:t>
            </w:r>
          </w:p>
        </w:tc>
        <w:tc>
          <w:tcPr>
            <w:tcW w:type="dxa" w:w="1462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Date</w:t>
            </w:r>
          </w:p>
        </w:tc>
        <w:tc>
          <w:tcPr>
            <w:tcW w:type="dxa" w:w="5851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/>
                <w:color w:val="000000"/>
                <w:sz w:val="19"/>
              </w:rPr>
              <w:t>Change</w:t>
            </w:r>
          </w:p>
        </w:tc>
      </w:tr>
      <w:tr>
        <w:tc>
          <w:tcPr>
            <w:tcW w:type="dxa" w:w="2047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1.0</w:t>
            </w:r>
          </w:p>
        </w:tc>
        <w:tc>
          <w:tcPr>
            <w:tcW w:type="dxa" w:w="1462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2026-02-20</w:t>
            </w:r>
          </w:p>
        </w:tc>
        <w:tc>
          <w:tcPr>
            <w:tcW w:type="dxa" w:w="5851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/>
                <w:b w:val="0"/>
                <w:color w:val="000000"/>
                <w:sz w:val="19"/>
              </w:rPr>
              <w:t>Initial approved fictional case version.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/>
        <w:color w:val="595959"/>
        <w:sz w:val="17"/>
      </w:rPr>
      <w:t xml:space="preserve">QCL-2026-BPD-001 | Version 1.0 | Approved in fictional case | Page </w:t>
    </w:r>
    <w:r>
      <w:fldChar w:fldCharType="begin"/>
    </w:r>
    <w:r>
      <w:instrText xml:space="preserve"> PAGE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  <w:r>
      <w:rPr>
        <w:rFonts w:ascii="Calibri" w:hAnsi="Calibri"/>
        <w:color w:val="595959"/>
        <w:sz w:val="17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Calibri" w:hAnsi="Calibri"/>
        <w:color w:val="595959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Calibri" w:hAnsi="Calibri"/>
        <w:b/>
        <w:color w:val="595959"/>
        <w:sz w:val="17"/>
      </w:rPr>
      <w:t>QCL-2026 | QCLabOne 2.0 LIMS/LES</w:t>
    </w:r>
    <w:r>
      <w:tab/>
    </w:r>
    <w:r>
      <w:rPr>
        <w:rFonts w:ascii="Calibri" w:hAnsi="Calibri"/>
        <w:color w:val="595959"/>
        <w:sz w:val="17"/>
      </w:rPr>
      <w:t>QCL-2026-BPD-001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QCLabOne 2.0 Business Process Description</dc:title>
  <dc:subject>GMP CSV controlled-document conversion</dc:subject>
  <dc:creator>CSV108 Markdown DOCX Converter</dc:creator>
  <cp:keywords>CSV, GMP, validation, DOCX, controlled document</cp:keywords>
  <dc:description>Converted from CSV108 Markdown source. Requires site-specific QA review before operational use.</dc:description>
  <cp:lastModifiedBy>CSV108 Markdown DOCX Converter</cp:lastModifiedBy>
  <cp:revision>1</cp:revision>
  <dcterms:created xsi:type="dcterms:W3CDTF">2026-06-19T09:00:00Z</dcterms:created>
  <dcterms:modified xsi:type="dcterms:W3CDTF">2026-06-19T09:00:00Z</dcterms:modified>
  <cp:category>GMP CSV</cp:category>
</cp:coreProperties>
</file>