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QCLabOne 2.0 GxP Impact Assessment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QCL-2026-GXP-001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Risk and Compliance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2026-03-20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QCL-2026-GXP-001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Risk and Compliance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2026-03-20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Assessment question and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Question: Does failure or misuse of QCLabOne 2.0 affect patient safety, product quality, GMP decisions or the integrity/availability of regulated records?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Conclusion: Yes. The system has High GxP impact because it creates and approves QC records, performs calculations and limit evaluation, supports material/batch disposition, applies electronic signatures and retains data required for inspection.</w:t>
      </w:r>
    </w:p>
    <w:p>
      <w:pPr>
        <w:pStyle w:val="Heading1"/>
      </w:pPr>
      <w:r>
        <w:t>2. GxP impact screening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58"/>
        <w:gridCol w:w="1021"/>
        <w:gridCol w:w="4681"/>
      </w:tblGrid>
      <w:tr>
        <w:trPr>
          <w:tblHeader w:val="true"/>
        </w:trPr>
        <w:tc>
          <w:tcPr>
            <w:tcW w:type="dxa" w:w="365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Assessment criterion</w:t>
            </w:r>
          </w:p>
        </w:tc>
        <w:tc>
          <w:tcPr>
            <w:tcW w:type="dxa" w:w="102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Answer</w:t>
            </w:r>
          </w:p>
        </w:tc>
        <w:tc>
          <w:tcPr>
            <w:tcW w:type="dxa" w:w="468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Rationale</w:t>
            </w:r>
          </w:p>
        </w:tc>
      </w:tr>
      <w:tr>
        <w:tc>
          <w:tcPr>
            <w:tcW w:type="dxa" w:w="36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Creates or modifies GMP records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Yes</w:t>
            </w:r>
          </w:p>
        </w:tc>
        <w:tc>
          <w:tcPr>
            <w:tcW w:type="dxa" w:w="4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Sample, test, result, calculation, review, signature and audit records</w:t>
            </w:r>
          </w:p>
        </w:tc>
      </w:tr>
      <w:tr>
        <w:tc>
          <w:tcPr>
            <w:tcW w:type="dxa" w:w="36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Performs calculation or acceptance decision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Yes</w:t>
            </w:r>
          </w:p>
        </w:tc>
        <w:tc>
          <w:tcPr>
            <w:tcW w:type="dxa" w:w="4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Formula, rounding and specification evaluation</w:t>
            </w:r>
          </w:p>
        </w:tc>
      </w:tr>
      <w:tr>
        <w:tc>
          <w:tcPr>
            <w:tcW w:type="dxa" w:w="36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Supports material or batch disposition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Yes</w:t>
            </w:r>
          </w:p>
        </w:tc>
        <w:tc>
          <w:tcPr>
            <w:tcW w:type="dxa" w:w="4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QC status/result is returned to SAP</w:t>
            </w:r>
          </w:p>
        </w:tc>
      </w:tr>
      <w:tr>
        <w:tc>
          <w:tcPr>
            <w:tcW w:type="dxa" w:w="36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Controls regulated workflow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Yes</w:t>
            </w:r>
          </w:p>
        </w:tc>
        <w:tc>
          <w:tcPr>
            <w:tcW w:type="dxa" w:w="4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Assignment, execution, OOS hold, review and approval</w:t>
            </w:r>
          </w:p>
        </w:tc>
      </w:tr>
      <w:tr>
        <w:tc>
          <w:tcPr>
            <w:tcW w:type="dxa" w:w="36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Stores required electronic records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Yes</w:t>
            </w:r>
          </w:p>
        </w:tc>
        <w:tc>
          <w:tcPr>
            <w:tcW w:type="dxa" w:w="4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Active records and audit trails; archive export</w:t>
            </w:r>
          </w:p>
        </w:tc>
      </w:tr>
      <w:tr>
        <w:tc>
          <w:tcPr>
            <w:tcW w:type="dxa" w:w="36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Uses electronic signatures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Yes</w:t>
            </w:r>
          </w:p>
        </w:tc>
        <w:tc>
          <w:tcPr>
            <w:tcW w:type="dxa" w:w="4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Submission, review and approval signatures</w:t>
            </w:r>
          </w:p>
        </w:tc>
      </w:tr>
      <w:tr>
        <w:tc>
          <w:tcPr>
            <w:tcW w:type="dxa" w:w="36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Exchanges GxP data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Yes</w:t>
            </w:r>
          </w:p>
        </w:tc>
        <w:tc>
          <w:tcPr>
            <w:tcW w:type="dxa" w:w="4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SAP, eQMS, CDS/SDMS and instruments</w:t>
            </w:r>
          </w:p>
        </w:tc>
      </w:tr>
      <w:tr>
        <w:tc>
          <w:tcPr>
            <w:tcW w:type="dxa" w:w="36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Failure could delay operations only</w:t>
            </w:r>
          </w:p>
        </w:tc>
        <w:tc>
          <w:tcPr>
            <w:tcW w:type="dxa" w:w="10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</w:t>
            </w:r>
          </w:p>
        </w:tc>
        <w:tc>
          <w:tcPr>
            <w:tcW w:type="dxa" w:w="46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Certain failures could also produce an incorrect quality decision or unavailable evidence</w:t>
            </w:r>
          </w:p>
        </w:tc>
      </w:tr>
    </w:tbl>
    <w:p>
      <w:pPr>
        <w:spacing w:after="80"/>
      </w:pPr>
    </w:p>
    <w:p>
      <w:pPr>
        <w:pStyle w:val="Heading1"/>
      </w:pPr>
      <w:r>
        <w:t>3. Component impact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951"/>
        <w:gridCol w:w="1770"/>
        <w:gridCol w:w="4639"/>
      </w:tblGrid>
      <w:tr>
        <w:trPr>
          <w:tblHeader w:val="true"/>
        </w:trPr>
        <w:tc>
          <w:tcPr>
            <w:tcW w:type="dxa" w:w="29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Component</w:t>
            </w:r>
          </w:p>
        </w:tc>
        <w:tc>
          <w:tcPr>
            <w:tcW w:type="dxa" w:w="177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Impact</w:t>
            </w:r>
          </w:p>
        </w:tc>
        <w:tc>
          <w:tcPr>
            <w:tcW w:type="dxa" w:w="463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Decision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LIMS/LES application</w:t>
            </w:r>
          </w:p>
        </w:tc>
        <w:tc>
          <w:tcPr>
            <w:tcW w:type="dxa" w:w="1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Direct</w:t>
            </w:r>
          </w:p>
        </w:tc>
        <w:tc>
          <w:tcPr>
            <w:tcW w:type="dxa" w:w="46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Full lifecycle validation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 gateway/custom interfaces</w:t>
            </w:r>
          </w:p>
        </w:tc>
        <w:tc>
          <w:tcPr>
            <w:tcW w:type="dxa" w:w="1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Direct</w:t>
            </w:r>
          </w:p>
        </w:tc>
        <w:tc>
          <w:tcPr>
            <w:tcW w:type="dxa" w:w="46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Specification, code control and verification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Cloud infrastructure/database</w:t>
            </w:r>
          </w:p>
        </w:tc>
        <w:tc>
          <w:tcPr>
            <w:tcW w:type="dxa" w:w="1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Indirect but critical</w:t>
            </w:r>
          </w:p>
        </w:tc>
        <w:tc>
          <w:tcPr>
            <w:tcW w:type="dxa" w:w="46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Supplier qualification and infrastructure qualification evidence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Identity service</w:t>
            </w:r>
          </w:p>
        </w:tc>
        <w:tc>
          <w:tcPr>
            <w:tcW w:type="dxa" w:w="1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Indirect but critical</w:t>
            </w:r>
          </w:p>
        </w:tc>
        <w:tc>
          <w:tcPr>
            <w:tcW w:type="dxa" w:w="46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Qualified service plus access/security verification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Backup and archive</w:t>
            </w:r>
          </w:p>
        </w:tc>
        <w:tc>
          <w:tcPr>
            <w:tcW w:type="dxa" w:w="1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Indirect but critical</w:t>
            </w:r>
          </w:p>
        </w:tc>
        <w:tc>
          <w:tcPr>
            <w:tcW w:type="dxa" w:w="46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Qualification, restore and retrievability testing</w:t>
            </w:r>
          </w:p>
        </w:tc>
      </w:tr>
      <w:tr>
        <w:tc>
          <w:tcPr>
            <w:tcW w:type="dxa" w:w="29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Barcode peripherals</w:t>
            </w:r>
          </w:p>
        </w:tc>
        <w:tc>
          <w:tcPr>
            <w:tcW w:type="dxa" w:w="1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Supporting</w:t>
            </w:r>
          </w:p>
        </w:tc>
        <w:tc>
          <w:tcPr>
            <w:tcW w:type="dxa" w:w="463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Installation and functional verification</w:t>
            </w:r>
          </w:p>
        </w:tc>
      </w:tr>
    </w:tbl>
    <w:p>
      <w:pPr>
        <w:spacing w:after="80"/>
      </w:pPr>
    </w:p>
    <w:p>
      <w:pPr>
        <w:pStyle w:val="Heading1"/>
      </w:pPr>
      <w:r>
        <w:t>4. Impact rationale by regulated concern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16"/>
        <w:gridCol w:w="1987"/>
        <w:gridCol w:w="4557"/>
      </w:tblGrid>
      <w:tr>
        <w:trPr>
          <w:tblHeader w:val="true"/>
        </w:trPr>
        <w:tc>
          <w:tcPr>
            <w:tcW w:type="dxa" w:w="281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Regulated concern</w:t>
            </w:r>
          </w:p>
        </w:tc>
        <w:tc>
          <w:tcPr>
            <w:tcW w:type="dxa" w:w="198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Impact level</w:t>
            </w:r>
          </w:p>
        </w:tc>
        <w:tc>
          <w:tcPr>
            <w:tcW w:type="dxa" w:w="455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Evidence basis</w:t>
            </w:r>
          </w:p>
        </w:tc>
      </w:tr>
      <w:tr>
        <w:tc>
          <w:tcPr>
            <w:tcW w:type="dxa" w:w="2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Patient safety</w:t>
            </w:r>
          </w:p>
        </w:tc>
        <w:tc>
          <w:tcPr>
            <w:tcW w:type="dxa" w:w="1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Indirect high</w:t>
            </w:r>
          </w:p>
        </w:tc>
        <w:tc>
          <w:tcPr>
            <w:tcW w:type="dxa" w:w="4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Incorrect QC status could support release of nonconforming material or delay investigation</w:t>
            </w:r>
          </w:p>
        </w:tc>
      </w:tr>
      <w:tr>
        <w:tc>
          <w:tcPr>
            <w:tcW w:type="dxa" w:w="2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Product quality</w:t>
            </w:r>
          </w:p>
        </w:tc>
        <w:tc>
          <w:tcPr>
            <w:tcW w:type="dxa" w:w="1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Direct high</w:t>
            </w:r>
          </w:p>
        </w:tc>
        <w:tc>
          <w:tcPr>
            <w:tcW w:type="dxa" w:w="4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The system controls sample testing, calculations, specification checks and result approval</w:t>
            </w:r>
          </w:p>
        </w:tc>
      </w:tr>
      <w:tr>
        <w:tc>
          <w:tcPr>
            <w:tcW w:type="dxa" w:w="2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Data integrity</w:t>
            </w:r>
          </w:p>
        </w:tc>
        <w:tc>
          <w:tcPr>
            <w:tcW w:type="dxa" w:w="1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Direct high</w:t>
            </w:r>
          </w:p>
        </w:tc>
        <w:tc>
          <w:tcPr>
            <w:tcW w:type="dxa" w:w="4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Electronic records, audit trails, e-signatures, interfaces and migrations are in scope</w:t>
            </w:r>
          </w:p>
        </w:tc>
      </w:tr>
      <w:tr>
        <w:tc>
          <w:tcPr>
            <w:tcW w:type="dxa" w:w="2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Record availability</w:t>
            </w:r>
          </w:p>
        </w:tc>
        <w:tc>
          <w:tcPr>
            <w:tcW w:type="dxa" w:w="1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  <w:tc>
          <w:tcPr>
            <w:tcW w:type="dxa" w:w="4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Records are required for batch support, stability review, investigations and inspections</w:t>
            </w:r>
          </w:p>
        </w:tc>
      </w:tr>
      <w:tr>
        <w:tc>
          <w:tcPr>
            <w:tcW w:type="dxa" w:w="28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Business continuity</w:t>
            </w:r>
          </w:p>
        </w:tc>
        <w:tc>
          <w:tcPr>
            <w:tcW w:type="dxa" w:w="19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High support</w:t>
            </w:r>
          </w:p>
        </w:tc>
        <w:tc>
          <w:tcPr>
            <w:tcW w:type="dxa" w:w="455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Extended outage delays QC disposition and may require approved contingency processing</w:t>
            </w:r>
          </w:p>
        </w:tc>
      </w:tr>
    </w:tbl>
    <w:p>
      <w:pPr>
        <w:spacing w:after="80"/>
      </w:pPr>
    </w:p>
    <w:p>
      <w:pPr>
        <w:pStyle w:val="Heading1"/>
      </w:pPr>
      <w:r>
        <w:t>5. Screening decision rules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361"/>
        <w:gridCol w:w="4999"/>
      </w:tblGrid>
      <w:tr>
        <w:trPr>
          <w:tblHeader w:val="true"/>
        </w:trPr>
        <w:tc>
          <w:tcPr>
            <w:tcW w:type="dxa" w:w="436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Screening outcome</w:t>
            </w:r>
          </w:p>
        </w:tc>
        <w:tc>
          <w:tcPr>
            <w:tcW w:type="dxa" w:w="4999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Validation expectation</w:t>
            </w:r>
          </w:p>
        </w:tc>
      </w:tr>
      <w:tr>
        <w:tc>
          <w:tcPr>
            <w:tcW w:type="dxa" w:w="4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Any direct GMP record creation/modification</w:t>
            </w:r>
          </w:p>
        </w:tc>
        <w:tc>
          <w:tcPr>
            <w:tcW w:type="dxa" w:w="4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System-specific validation and traceability are required</w:t>
            </w:r>
          </w:p>
        </w:tc>
      </w:tr>
      <w:tr>
        <w:tc>
          <w:tcPr>
            <w:tcW w:type="dxa" w:w="4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Any automated calculation or acceptance decision</w:t>
            </w:r>
          </w:p>
        </w:tc>
        <w:tc>
          <w:tcPr>
            <w:tcW w:type="dxa" w:w="4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Specification, independent verification and challenge testing are required</w:t>
            </w:r>
          </w:p>
        </w:tc>
      </w:tr>
      <w:tr>
        <w:tc>
          <w:tcPr>
            <w:tcW w:type="dxa" w:w="4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Any regulated electronic signature</w:t>
            </w:r>
          </w:p>
        </w:tc>
        <w:tc>
          <w:tcPr>
            <w:tcW w:type="dxa" w:w="4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Part 11/Annex 11 assessment and e-signature testing are required</w:t>
            </w:r>
          </w:p>
        </w:tc>
      </w:tr>
      <w:tr>
        <w:tc>
          <w:tcPr>
            <w:tcW w:type="dxa" w:w="4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Any GxP interface or migration</w:t>
            </w:r>
          </w:p>
        </w:tc>
        <w:tc>
          <w:tcPr>
            <w:tcW w:type="dxa" w:w="4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Mapping, reconciliation, exception handling and interface/migration tests are required</w:t>
            </w:r>
          </w:p>
        </w:tc>
      </w:tr>
      <w:tr>
        <w:tc>
          <w:tcPr>
            <w:tcW w:type="dxa" w:w="436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Only administrative/non-regulated use</w:t>
            </w:r>
          </w:p>
        </w:tc>
        <w:tc>
          <w:tcPr>
            <w:tcW w:type="dxa" w:w="49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Documented exclusion and basic IT controls may be sufficient</w:t>
            </w:r>
          </w:p>
        </w:tc>
      </w:tr>
    </w:tbl>
    <w:p>
      <w:pPr>
        <w:spacing w:after="80"/>
      </w:pPr>
    </w:p>
    <w:p>
      <w:pPr>
        <w:pStyle w:val="Heading1"/>
      </w:pPr>
      <w:r>
        <w:t>6. Required controls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URS, risk assessment, supplier qualification, design/configuration, traceability, IQ/OQ/PQ, interface/migration/security/audit/e-signature/backup tests, VSR, SOP/training, operational review and controlled retirement are required.</w:t>
      </w:r>
    </w:p>
    <w:p>
      <w:pPr>
        <w:pStyle w:val="Heading1"/>
      </w:pPr>
      <w:r>
        <w:t>7.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CSI-SZ-001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[Site Computerised System Inventory](003_Computerised_System_Inventory.md)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QCL-2026-SCP-001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Project Scope Statement](006_Project_Scope_Statement.md)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QCL-2026-IUS-001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Intended Use Statement](007_Intended_Use_Statement.md)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QCL-2026-BPD-001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Business Process Description](008_Business_Process_Description.md)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QCL-2026-CLA-001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[System Classification and Criticality Assessment](010_System_Classification_and_Criticality_Assessment.md)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[Preliminary Risk Assessment](011_Preliminary_Risk_Assessment.md)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QCL-2026-DIRA-001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Integrity Risk Assessment](012_Data_Integrity_Risk_Assessment.md)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QCL-2026-ERES-001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[21 CFR Part 11 and EU Annex 11 Assessment](013_21_CFR_Part_11_and_EU_Annex_11_Assessment.md)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QCL-2026-VP-001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Project Validation Plan](015_Project_Validation_Plan.md)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QCL-2026-URS-001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[User Requirements Specification](022_User_Requirements_Specification.md)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33"/>
        <w:gridCol w:w="2692"/>
        <w:gridCol w:w="3335"/>
      </w:tblGrid>
      <w:tr>
        <w:trPr>
          <w:tblHeader w:val="true"/>
        </w:trPr>
        <w:tc>
          <w:tcPr>
            <w:tcW w:type="dxa" w:w="333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6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33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CSV/Quality Risk Lead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2026-03-20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QCL-2026-GXP-001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QCL-2026-GXP-001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QCLabOne 2.0 GxP Impact Assessment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