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System Classification and Criticality Assessment</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QCL-2026-CLA-001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Risk and Compliance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2026-03-20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 in fictional case</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QCL-2026-CLA-001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Risk and Compliance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2026-03-20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Classification method</w:t>
      </w:r>
    </w:p>
    <w:p>
      <w:pPr>
        <w:spacing w:after="120" w:line="300" w:lineRule="auto"/>
      </w:pPr>
      <w:r>
        <w:rPr>
          <w:rFonts w:ascii="Calibri" w:hAnsi="Calibri"/>
          <w:b w:val="0"/>
          <w:i w:val="0"/>
          <w:color w:val="000000"/>
          <w:sz w:val="22"/>
        </w:rPr>
        <w:t>Components are classified by their role and complexity. Industry categories are used as a planning aid, not as a substitute for GxP risk assessment.</w:t>
      </w:r>
    </w:p>
    <w:p>
      <w:pPr>
        <w:spacing w:after="120" w:line="300" w:lineRule="auto"/>
      </w:pPr>
      <w:r>
        <w:rPr>
          <w:rFonts w:ascii="Calibri" w:hAnsi="Calibri"/>
          <w:b w:val="0"/>
          <w:i w:val="0"/>
          <w:color w:val="000000"/>
          <w:sz w:val="22"/>
        </w:rPr>
        <w:t>Classification considers whether the component is standard infrastructure, configured commercial software, custom software, configured content, peripheral hardware or user-developed application. Criticality considers the worst credible impact on product quality, patient safety, data integrity, record availability and business continuity if the component fails or is misused.</w:t>
      </w:r>
    </w:p>
    <w:p>
      <w:pPr>
        <w:pStyle w:val="Heading1"/>
      </w:pPr>
      <w:r>
        <w:t>2. Classification results</w:t>
      </w:r>
    </w:p>
    <w:tbl>
      <w:tblPr>
        <w:tblStyle w:val="TableGrid"/>
        <w:tblW w:type="dxa" w:w="9360"/>
        <w:tblLayout w:type="fixed"/>
        <w:tblLook w:firstColumn="1" w:firstRow="1" w:lastColumn="0" w:lastRow="0" w:noHBand="0" w:noVBand="1" w:val="04A0"/>
        <w:tblInd w:w="120" w:type="dxa"/>
      </w:tblPr>
      <w:tblGrid>
        <w:gridCol w:w="1583"/>
        <w:gridCol w:w="1629"/>
        <w:gridCol w:w="2561"/>
        <w:gridCol w:w="1024"/>
        <w:gridCol w:w="2563"/>
      </w:tblGrid>
      <w:tr>
        <w:trPr>
          <w:tblHeader w:val="true"/>
        </w:trPr>
        <w:tc>
          <w:tcPr>
            <w:tcW w:type="dxa" w:w="158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7"/>
              </w:rPr>
              <w:t>Component</w:t>
            </w:r>
          </w:p>
        </w:tc>
        <w:tc>
          <w:tcPr>
            <w:tcW w:type="dxa" w:w="1629"/>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7"/>
              </w:rPr>
              <w:t>Classification</w:t>
            </w:r>
          </w:p>
        </w:tc>
        <w:tc>
          <w:tcPr>
            <w:tcW w:type="dxa" w:w="256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7"/>
              </w:rPr>
              <w:t>Configuration/customisation</w:t>
            </w:r>
          </w:p>
        </w:tc>
        <w:tc>
          <w:tcPr>
            <w:tcW w:type="dxa" w:w="10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7"/>
              </w:rPr>
              <w:t>Criticality</w:t>
            </w:r>
          </w:p>
        </w:tc>
        <w:tc>
          <w:tcPr>
            <w:tcW w:type="dxa" w:w="256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7"/>
              </w:rPr>
              <w:t>Validation implication</w:t>
            </w:r>
          </w:p>
        </w:tc>
      </w:tr>
      <w:tr>
        <w:tc>
          <w:tcPr>
            <w:tcW w:type="dxa" w:w="158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LabSphere LIMS/LES 8.4.2</w:t>
            </w:r>
          </w:p>
        </w:tc>
        <w:tc>
          <w:tcPr>
            <w:tcW w:type="dxa" w:w="1629"/>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Configurable commercial application</w:t>
            </w:r>
          </w:p>
        </w:tc>
        <w:tc>
          <w:tcPr>
            <w:tcW w:type="dxa" w:w="2561"/>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Extensive workflow, master data, reports and security configuration</w:t>
            </w:r>
          </w:p>
        </w:tc>
        <w:tc>
          <w:tcPr>
            <w:tcW w:type="dxa" w:w="1024"/>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High</w:t>
            </w:r>
          </w:p>
        </w:tc>
        <w:tc>
          <w:tcPr>
            <w:tcW w:type="dxa" w:w="256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URS, configuration specification, risk-based OQ/PQ and traceability</w:t>
            </w:r>
          </w:p>
        </w:tc>
      </w:tr>
      <w:tr>
        <w:tc>
          <w:tcPr>
            <w:tcW w:type="dxa" w:w="158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QCL-IGW-01 OS/runtime</w:t>
            </w:r>
          </w:p>
        </w:tc>
        <w:tc>
          <w:tcPr>
            <w:tcW w:type="dxa" w:w="1629"/>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Infrastructure software</w:t>
            </w:r>
          </w:p>
        </w:tc>
        <w:tc>
          <w:tcPr>
            <w:tcW w:type="dxa" w:w="2561"/>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Standard hardened configuration</w:t>
            </w:r>
          </w:p>
        </w:tc>
        <w:tc>
          <w:tcPr>
            <w:tcW w:type="dxa" w:w="1024"/>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High supporting</w:t>
            </w:r>
          </w:p>
        </w:tc>
        <w:tc>
          <w:tcPr>
            <w:tcW w:type="dxa" w:w="256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Installation qualification and operational monitoring</w:t>
            </w:r>
          </w:p>
        </w:tc>
      </w:tr>
      <w:tr>
        <w:tc>
          <w:tcPr>
            <w:tcW w:type="dxa" w:w="158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SAP/eQMS/CDS connectors</w:t>
            </w:r>
          </w:p>
        </w:tc>
        <w:tc>
          <w:tcPr>
            <w:tcW w:type="dxa" w:w="1629"/>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Custom software/integration</w:t>
            </w:r>
          </w:p>
        </w:tc>
        <w:tc>
          <w:tcPr>
            <w:tcW w:type="dxa" w:w="2561"/>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Custom mappings, transformations and retry logic</w:t>
            </w:r>
          </w:p>
        </w:tc>
        <w:tc>
          <w:tcPr>
            <w:tcW w:type="dxa" w:w="1024"/>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High</w:t>
            </w:r>
          </w:p>
        </w:tc>
        <w:tc>
          <w:tcPr>
            <w:tcW w:type="dxa" w:w="256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Development plan, code review, unit and interface testing</w:t>
            </w:r>
          </w:p>
        </w:tc>
      </w:tr>
      <w:tr>
        <w:tc>
          <w:tcPr>
            <w:tcW w:type="dxa" w:w="158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Report templates/calculation rules</w:t>
            </w:r>
          </w:p>
        </w:tc>
        <w:tc>
          <w:tcPr>
            <w:tcW w:type="dxa" w:w="1629"/>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Configured/custom content</w:t>
            </w:r>
          </w:p>
        </w:tc>
        <w:tc>
          <w:tcPr>
            <w:tcW w:type="dxa" w:w="2561"/>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Site-specific logic</w:t>
            </w:r>
          </w:p>
        </w:tc>
        <w:tc>
          <w:tcPr>
            <w:tcW w:type="dxa" w:w="1024"/>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High</w:t>
            </w:r>
          </w:p>
        </w:tc>
        <w:tc>
          <w:tcPr>
            <w:tcW w:type="dxa" w:w="256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Specification, independent verification and regression</w:t>
            </w:r>
          </w:p>
        </w:tc>
      </w:tr>
      <w:tr>
        <w:tc>
          <w:tcPr>
            <w:tcW w:type="dxa" w:w="158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Barcode printers/scanners</w:t>
            </w:r>
          </w:p>
        </w:tc>
        <w:tc>
          <w:tcPr>
            <w:tcW w:type="dxa" w:w="1629"/>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Hardware/peripheral</w:t>
            </w:r>
          </w:p>
        </w:tc>
        <w:tc>
          <w:tcPr>
            <w:tcW w:type="dxa" w:w="2561"/>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Standard drivers and device mapping</w:t>
            </w:r>
          </w:p>
        </w:tc>
        <w:tc>
          <w:tcPr>
            <w:tcW w:type="dxa" w:w="1024"/>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Medium</w:t>
            </w:r>
          </w:p>
        </w:tc>
        <w:tc>
          <w:tcPr>
            <w:tcW w:type="dxa" w:w="256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Installation and workflow test</w:t>
            </w:r>
          </w:p>
        </w:tc>
      </w:tr>
      <w:tr>
        <w:tc>
          <w:tcPr>
            <w:tcW w:type="dxa" w:w="158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ArchiveVault</w:t>
            </w:r>
          </w:p>
        </w:tc>
        <w:tc>
          <w:tcPr>
            <w:tcW w:type="dxa" w:w="1629"/>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Configurable archive service</w:t>
            </w:r>
          </w:p>
        </w:tc>
        <w:tc>
          <w:tcPr>
            <w:tcW w:type="dxa" w:w="2561"/>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Retention/index configuration</w:t>
            </w:r>
          </w:p>
        </w:tc>
        <w:tc>
          <w:tcPr>
            <w:tcW w:type="dxa" w:w="1024"/>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High</w:t>
            </w:r>
          </w:p>
        </w:tc>
        <w:tc>
          <w:tcPr>
            <w:tcW w:type="dxa" w:w="256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Supplier assessment, qualification and retrieval test</w:t>
            </w:r>
          </w:p>
        </w:tc>
      </w:tr>
      <w:tr>
        <w:tc>
          <w:tcPr>
            <w:tcW w:type="dxa" w:w="158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Controlled spreadsheets</w:t>
            </w:r>
          </w:p>
        </w:tc>
        <w:tc>
          <w:tcPr>
            <w:tcW w:type="dxa" w:w="1629"/>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User-developed applications</w:t>
            </w:r>
          </w:p>
        </w:tc>
        <w:tc>
          <w:tcPr>
            <w:tcW w:type="dxa" w:w="2561"/>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Formula/macro dependent by file</w:t>
            </w:r>
          </w:p>
        </w:tc>
        <w:tc>
          <w:tcPr>
            <w:tcW w:type="dxa" w:w="1024"/>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Medium/High</w:t>
            </w:r>
          </w:p>
        </w:tc>
        <w:tc>
          <w:tcPr>
            <w:tcW w:type="dxa" w:w="2563"/>
            <w:vAlign w:val="center"/>
            <w:tcMar>
              <w:top w:w="80" w:type="dxa"/>
              <w:bottom w:w="80" w:type="dxa"/>
              <w:start w:w="120" w:type="dxa"/>
              <w:end w:w="120" w:type="dxa"/>
            </w:tcMar>
          </w:tcPr>
          <w:p>
            <w:pPr>
              <w:spacing w:after="0" w:line="276" w:lineRule="auto"/>
              <w:jc w:val="left"/>
            </w:pPr>
            <w:r/>
            <w:r>
              <w:rPr>
                <w:rFonts w:ascii="Calibri" w:hAnsi="Calibri"/>
                <w:b w:val="0"/>
                <w:color w:val="000000"/>
                <w:sz w:val="17"/>
              </w:rPr>
              <w:t>Individual assessment, migration or retirement evidence</w:t>
            </w:r>
          </w:p>
        </w:tc>
      </w:tr>
    </w:tbl>
    <w:p>
      <w:pPr>
        <w:spacing w:after="80"/>
      </w:pPr>
    </w:p>
    <w:p>
      <w:pPr>
        <w:pStyle w:val="Heading1"/>
      </w:pPr>
      <w:r>
        <w:t>3. Criticality evaluation</w:t>
      </w:r>
    </w:p>
    <w:p>
      <w:pPr>
        <w:spacing w:after="120" w:line="300" w:lineRule="auto"/>
      </w:pPr>
      <w:r>
        <w:rPr>
          <w:rFonts w:ascii="Calibri" w:hAnsi="Calibri"/>
          <w:b w:val="0"/>
          <w:i w:val="0"/>
          <w:color w:val="000000"/>
          <w:sz w:val="22"/>
        </w:rPr>
        <w:t>The application is business-critical and data-integrity-critical. An incorrect result, limit, signature or interface transfer could support an incorrect disposition. Loss of availability beyond eight hours delays QC release. Loss of historical records impairs inspection and product-quality investigations.</w:t>
      </w:r>
    </w:p>
    <w:p>
      <w:pPr>
        <w:pStyle w:val="Heading1"/>
      </w:pPr>
      <w:r>
        <w:t>4. Validation strategy decision</w:t>
      </w:r>
    </w:p>
    <w:p>
      <w:pPr>
        <w:spacing w:after="120" w:line="300" w:lineRule="auto"/>
      </w:pPr>
      <w:r>
        <w:rPr>
          <w:rFonts w:ascii="Calibri" w:hAnsi="Calibri"/>
          <w:b w:val="0"/>
          <w:i w:val="0"/>
          <w:color w:val="000000"/>
          <w:sz w:val="22"/>
        </w:rPr>
        <w:t>Use a full risk-based lifecycle. Supplier standard tests may be leveraged for non-site-specific product functions. All site configuration, interfaces, calculations, roles, audit trails, signatures, migration and representative business processes require company-controlled verification.</w:t>
      </w:r>
    </w:p>
    <w:p>
      <w:pPr>
        <w:pStyle w:val="Heading1"/>
      </w:pPr>
      <w:r>
        <w:t>5. Validation depth matrix</w:t>
      </w:r>
    </w:p>
    <w:tbl>
      <w:tblPr>
        <w:tblStyle w:val="TableGrid"/>
        <w:tblW w:type="dxa" w:w="9360"/>
        <w:tblLayout w:type="fixed"/>
        <w:tblLook w:firstColumn="1" w:firstRow="1" w:lastColumn="0" w:lastRow="0" w:noHBand="0" w:noVBand="1" w:val="04A0"/>
        <w:tblInd w:w="120" w:type="dxa"/>
      </w:tblPr>
      <w:tblGrid>
        <w:gridCol w:w="3824"/>
        <w:gridCol w:w="5536"/>
      </w:tblGrid>
      <w:tr>
        <w:trPr>
          <w:tblHeader w:val="true"/>
        </w:trPr>
        <w:tc>
          <w:tcPr>
            <w:tcW w:type="dxa" w:w="38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Component type</w:t>
            </w:r>
          </w:p>
        </w:tc>
        <w:tc>
          <w:tcPr>
            <w:tcW w:type="dxa" w:w="553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Minimum company-controlled evidence</w:t>
            </w:r>
          </w:p>
        </w:tc>
      </w:tr>
      <w:tr>
        <w:tc>
          <w:tcPr>
            <w:tcW w:type="dxa" w:w="38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Configurable commercial application</w:t>
            </w:r>
          </w:p>
        </w:tc>
        <w:tc>
          <w:tcPr>
            <w:tcW w:type="dxa" w:w="553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Intended use, URS, configuration specification, risk assessment, OQ/PQ, traceability and VSR</w:t>
            </w:r>
          </w:p>
        </w:tc>
      </w:tr>
      <w:tr>
        <w:tc>
          <w:tcPr>
            <w:tcW w:type="dxa" w:w="38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Custom interface or transformation</w:t>
            </w:r>
          </w:p>
        </w:tc>
        <w:tc>
          <w:tcPr>
            <w:tcW w:type="dxa" w:w="553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Design specification, source/change control, code review, unit evidence, interface challenge and reconciliation</w:t>
            </w:r>
          </w:p>
        </w:tc>
      </w:tr>
      <w:tr>
        <w:tc>
          <w:tcPr>
            <w:tcW w:type="dxa" w:w="38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Configured calculation/report</w:t>
            </w:r>
          </w:p>
        </w:tc>
        <w:tc>
          <w:tcPr>
            <w:tcW w:type="dxa" w:w="553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logic, independent calculation check, boundary/negative testing and regression coverage</w:t>
            </w:r>
          </w:p>
        </w:tc>
      </w:tr>
      <w:tr>
        <w:tc>
          <w:tcPr>
            <w:tcW w:type="dxa" w:w="38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Qualified infrastructure</w:t>
            </w:r>
          </w:p>
        </w:tc>
        <w:tc>
          <w:tcPr>
            <w:tcW w:type="dxa" w:w="553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Installation/configuration baseline, security hardening, monitoring, backup/restore and DR evidence</w:t>
            </w:r>
          </w:p>
        </w:tc>
      </w:tr>
      <w:tr>
        <w:tc>
          <w:tcPr>
            <w:tcW w:type="dxa" w:w="38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Peripheral/device integration</w:t>
            </w:r>
          </w:p>
        </w:tc>
        <w:tc>
          <w:tcPr>
            <w:tcW w:type="dxa" w:w="553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Installation check, device mapping, data-capture challenge and exception handling</w:t>
            </w:r>
          </w:p>
        </w:tc>
      </w:tr>
      <w:tr>
        <w:tc>
          <w:tcPr>
            <w:tcW w:type="dxa" w:w="38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User-developed application replacement</w:t>
            </w:r>
          </w:p>
        </w:tc>
        <w:tc>
          <w:tcPr>
            <w:tcW w:type="dxa" w:w="553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Inventory assessment, migration/retirement decision and evidence that uncontrolled use has stopped</w:t>
            </w:r>
          </w:p>
        </w:tc>
      </w:tr>
    </w:tbl>
    <w:p>
      <w:pPr>
        <w:spacing w:after="80"/>
      </w:pPr>
    </w:p>
    <w:p>
      <w:pPr>
        <w:pStyle w:val="Heading1"/>
      </w:pPr>
      <w:r>
        <w:t>6. Supplier evidence leveraging limits</w:t>
      </w:r>
    </w:p>
    <w:p>
      <w:pPr>
        <w:spacing w:after="120" w:line="300" w:lineRule="auto"/>
      </w:pPr>
      <w:r>
        <w:rPr>
          <w:rFonts w:ascii="Calibri" w:hAnsi="Calibri"/>
          <w:b w:val="0"/>
          <w:i w:val="0"/>
          <w:color w:val="000000"/>
          <w:sz w:val="22"/>
        </w:rPr>
        <w:t>Supplier evidence may reduce duplicate testing for standard product functions only when version, configuration relevance, test independence, defect status and traceability are acceptable. It shall not replace site verification of intended use, site configuration, role/access design, interfaces, migrations, regulated reports, electronic signatures, audit trails or SOP-based business processes.</w:t>
      </w:r>
    </w:p>
    <w:p>
      <w:pPr>
        <w:pStyle w:val="Heading1"/>
      </w:pPr>
      <w:r>
        <w:t>7.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QCL-2026-IUS-001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Intended Use Statement](007_Intended_Use_Statement.md)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QCL-2026-GXP-001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GxP Impact Assessment](009_GxP_Impact_Assessment.md)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QCL-2026-PRA-001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[Preliminary Risk Assessment](011_Preliminary_Risk_Assessment.md)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QCL-2026-VP-001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Project Validation Plan](015_Project_Validation_Plan.md)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QCL-2026-SDL-001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[Supplier Documentation Leveraging Assessment](021_Supplier_Documentation_Leveraging_Assessment.md)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QCL-2026-FRA-001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[Functional Risk Assessment](038_Functional_Risk_Assessment.md)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QCL-2026-VTP-001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[Validation Test Plan and Strategy](046_Validation_Test_Plan_and_Strategy.md)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333"/>
        <w:gridCol w:w="2692"/>
        <w:gridCol w:w="3335"/>
      </w:tblGrid>
      <w:tr>
        <w:trPr>
          <w:tblHeader w:val="true"/>
        </w:trPr>
        <w:tc>
          <w:tcPr>
            <w:tcW w:type="dxa" w:w="333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269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335"/>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CSV/Quality Risk Lead</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 Owner</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33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269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QA Validation Manager</w:t>
            </w:r>
          </w:p>
        </w:tc>
        <w:tc>
          <w:tcPr>
            <w:tcW w:type="dxa" w:w="333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2026-03-20</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QCL-2026-CLA-001 | Version 1.0 | Approved in fictional case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QCL-2026-CLA-001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Classification and Criticality Assessment</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