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Preliminary Risk Assessment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QCL-2026-PRA-001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Risk and Compliance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2026-03-20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QCL-2026-PRA-001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Risk and Compliance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2026-03-20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Method</w:t>
      </w:r>
    </w:p>
    <w:p>
      <w:pPr>
        <w:spacing w:after="120" w:line="300" w:lineRule="auto"/>
      </w:pPr>
      <w:r>
        <w:rPr>
          <w:rFonts w:ascii="Calibri" w:hAnsi="Calibri"/>
          <w:b w:val="0"/>
          <w:i w:val="0"/>
          <w:color w:val="000000"/>
          <w:sz w:val="22"/>
        </w:rPr>
        <w:t>Severity (S), probability (P) and detectability (D) are scored 1–5. RPN = S × P × D. High ≥40; Medium 16–39; Low ≤15. Any credible risk to an incorrect batch-quality decision is treated as High until controls are verified.</w:t>
      </w:r>
    </w:p>
    <w:p>
      <w:pPr>
        <w:pStyle w:val="Heading1"/>
      </w:pPr>
      <w:r>
        <w:t>2. Preliminary risk register</w:t>
      </w:r>
    </w:p>
    <w:tbl>
      <w:tblPr>
        <w:tblStyle w:val="TableGrid"/>
        <w:tblW w:type="dxa" w:w="9360"/>
        <w:tblLayout w:type="fixed"/>
        <w:tblLook w:firstColumn="1" w:firstRow="1" w:lastColumn="0" w:lastRow="0" w:noHBand="0" w:noVBand="1" w:val="04A0"/>
        <w:tblInd w:w="120" w:type="dxa"/>
      </w:tblPr>
      <w:tblGrid>
        <w:gridCol w:w="720"/>
        <w:gridCol w:w="2177"/>
        <w:gridCol w:w="1853"/>
        <w:gridCol w:w="720"/>
        <w:gridCol w:w="720"/>
        <w:gridCol w:w="720"/>
        <w:gridCol w:w="1297"/>
        <w:gridCol w:w="1153"/>
      </w:tblGrid>
      <w:tr>
        <w:trPr>
          <w:tblHeader w:val="true"/>
        </w:trPr>
        <w:tc>
          <w:tcPr>
            <w:tcW w:type="dxa" w:w="720"/>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5"/>
              </w:rPr>
              <w:t>ID</w:t>
            </w:r>
          </w:p>
        </w:tc>
        <w:tc>
          <w:tcPr>
            <w:tcW w:type="dxa" w:w="2177"/>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Hazard</w:t>
            </w:r>
          </w:p>
        </w:tc>
        <w:tc>
          <w:tcPr>
            <w:tcW w:type="dxa" w:w="185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Potential impact</w:t>
            </w:r>
          </w:p>
        </w:tc>
        <w:tc>
          <w:tcPr>
            <w:tcW w:type="dxa" w:w="7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S</w:t>
            </w:r>
          </w:p>
        </w:tc>
        <w:tc>
          <w:tcPr>
            <w:tcW w:type="dxa" w:w="7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P</w:t>
            </w:r>
          </w:p>
        </w:tc>
        <w:tc>
          <w:tcPr>
            <w:tcW w:type="dxa" w:w="7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D</w:t>
            </w:r>
          </w:p>
        </w:tc>
        <w:tc>
          <w:tcPr>
            <w:tcW w:type="dxa" w:w="1297"/>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Initial rating</w:t>
            </w:r>
          </w:p>
        </w:tc>
        <w:tc>
          <w:tcPr>
            <w:tcW w:type="dxa" w:w="115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Planned control</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PRA-01</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Incorrect or incomplete sample request from SAP</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Wrong tests or material disposition</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36 Medium</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Interface validation, message reconciliation, exception queue</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PRA-02</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Use of obsolete specification or method</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Incorrect test or limit applied</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30 Medium</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Effective-date/version controls, approval workflow, OQ</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PRA-03</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Calculation or rounding defect</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Incorrect pass/fail decision</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40 High</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Independent formula verification, boundary testing, controlled change</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PRA-04</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Unauthorized access or excessive privilege</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Uncontrolled data/configuration change</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45 High</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RBAC, SoD, access approval, periodic review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PRA-05</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Audit trail not enabled or incomplete</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Changes cannot be reconstructed</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40 High</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Audit trail specification and challenge testing</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PRA-06</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Electronic signature not linked to record</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Approval authenticity compromised</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40 High</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Part 11 assessment and signature challenge test</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PRA-07</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Instrument/CDS data transfer error</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Incorrect or missing result</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45 High</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Mapping, checksum/message ID, exception handling, reconciliation</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PRA-08</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Migration omits or corrupts legacy records</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Historical evidence unavailable</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60 High</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Profiling, trial migration, count/field reconciliation, archive verification</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PRA-09</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Cloud service outage</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QC operations delayed</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24 Medium</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BCP, redundancy, RTO/RPO, manual fallback</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PRA-10</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Backup or restore failure</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Permanent loss of GxP data</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40 High</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Backup monitoring, periodic restore tests, DR exercise</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PRA-11</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Supplier change without impact assessment</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Validated state unintentionally affected</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36 Medium</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Quality agreement, change notice, patch assessment</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PRA-12</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Insufficient user training</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Incorrect workflow execution</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24 Medium</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Role-based training and authorization</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PRA-13</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Vendor remote support changes production</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Unapproved GxP configuration change</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40 High</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Time-limited access, session monitoring, change control</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PRA-14</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Old LIMS retired before archive acceptance</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Regulatory records become unavailable</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40 High</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Retirement gate and archive retrievability testing</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PRA-15</w:t>
            </w:r>
          </w:p>
        </w:tc>
        <w:tc>
          <w:tcPr>
            <w:tcW w:type="dxa" w:w="217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Hybrid/manual contingency data not reconciled</w:t>
            </w:r>
          </w:p>
        </w:tc>
        <w:tc>
          <w:tcPr>
            <w:tcW w:type="dxa" w:w="18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Duplicate or inconsistent records</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12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36 Medium</w:t>
            </w:r>
          </w:p>
        </w:tc>
        <w:tc>
          <w:tcPr>
            <w:tcW w:type="dxa" w:w="115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Controlled forms, independent verification, post-outage reconciliation</w:t>
            </w:r>
          </w:p>
        </w:tc>
      </w:tr>
    </w:tbl>
    <w:p>
      <w:pPr>
        <w:spacing w:after="80"/>
      </w:pPr>
    </w:p>
    <w:p>
      <w:pPr>
        <w:pStyle w:val="Heading1"/>
      </w:pPr>
      <w:r>
        <w:t>3. Risk response</w:t>
      </w:r>
    </w:p>
    <w:p>
      <w:pPr>
        <w:spacing w:after="120" w:line="300" w:lineRule="auto"/>
      </w:pPr>
      <w:r>
        <w:rPr>
          <w:rFonts w:ascii="Calibri" w:hAnsi="Calibri"/>
          <w:b w:val="0"/>
          <w:i w:val="0"/>
          <w:color w:val="000000"/>
          <w:sz w:val="22"/>
        </w:rPr>
        <w:t>High risks require explicit URS and verification coverage. Medium risks require documented controls and testing where the control is automated or critical. Low risks may be managed by standard procedures and supplier/infrastructure evidence. Residual risk will be reassessed in the FRA and VSR.</w:t>
      </w:r>
    </w:p>
    <w:p>
      <w:pPr>
        <w:spacing w:after="120" w:line="300" w:lineRule="auto"/>
      </w:pPr>
      <w:r>
        <w:rPr>
          <w:rFonts w:ascii="Calibri" w:hAnsi="Calibri"/>
          <w:b w:val="0"/>
          <w:i w:val="0"/>
          <w:color w:val="000000"/>
          <w:sz w:val="22"/>
        </w:rPr>
        <w:t>Risk response owners shall confirm that each planned control is represented in at least one downstream deliverable. Where a control is procedural rather than automated, the associated SOP, training record and periodic review evidence shall be identified. Any risk that remains High after design mitigation requires QA acceptance before verification exit.</w:t>
      </w:r>
    </w:p>
    <w:tbl>
      <w:tblPr>
        <w:tblStyle w:val="TableGrid"/>
        <w:tblW w:type="dxa" w:w="9360"/>
        <w:tblLayout w:type="fixed"/>
        <w:tblLook w:firstColumn="1" w:firstRow="1" w:lastColumn="0" w:lastRow="0" w:noHBand="0" w:noVBand="1" w:val="04A0"/>
        <w:tblInd w:w="120" w:type="dxa"/>
      </w:tblPr>
      <w:tblGrid>
        <w:gridCol w:w="3702"/>
        <w:gridCol w:w="5658"/>
      </w:tblGrid>
      <w:tr>
        <w:trPr>
          <w:tblHeader w:val="true"/>
        </w:trPr>
        <w:tc>
          <w:tcPr>
            <w:tcW w:type="dxa" w:w="370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Preliminary rating</w:t>
            </w:r>
          </w:p>
        </w:tc>
        <w:tc>
          <w:tcPr>
            <w:tcW w:type="dxa" w:w="565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Minimum downstream evidence</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High</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URS link, design/configuration control, scripted challenge test and residual-risk disposition</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Medium</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Documented control, targeted verification or justified supplier/procedural evidence</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Low</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Standard operating control, owner acceptance and periodic review where applicable</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New or changed risk</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Change impact assessment and update to PRA/FRA/RTM before release decision</w:t>
            </w:r>
          </w:p>
        </w:tc>
      </w:tr>
    </w:tbl>
    <w:p>
      <w:pPr>
        <w:spacing w:after="80"/>
      </w:pPr>
    </w:p>
    <w:p>
      <w:pPr>
        <w:pStyle w:val="Heading1"/>
      </w:pPr>
      <w:r>
        <w:t>4.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QCL-2026-IUS-001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Intended Use Statement](007_Intended_Use_Statement.md)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QCL-2026-BPD-001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Business Process Description](008_Business_Process_Description.md)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QCL-2026-GXP-001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GxP Impact Assessment](009_GxP_Impact_Assessment.md)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QCL-2026-CLA-001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Classification and Criticality Assessment](010_System_Classification_and_Criticality_Assessment.md)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QCL-2026-DIRA-001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Integrity Risk Assessment](012_Data_Integrity_Risk_Assessment.md)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Project Validation Plan](015_Project_Validation_Plan.md)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QCL-2026-URS-001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 Requirements Specification](022_User_Requirements_Specification.md)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[Functional Risk Assessment](038_Functional_Risk_Assessment.md)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QCL-2026-VTP-001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Test Plan and Strategy](046_Validation_Test_Plan_and_Strategy.md)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333"/>
        <w:gridCol w:w="2692"/>
        <w:gridCol w:w="3335"/>
      </w:tblGrid>
      <w:tr>
        <w:trPr>
          <w:tblHeader w:val="true"/>
        </w:trPr>
        <w:tc>
          <w:tcPr>
            <w:tcW w:type="dxa" w:w="33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69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33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CSV/Quality Risk Lead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2026-03-20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QCL-2026-PRA-001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QCL-2026-PRA-001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Risk Assessment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