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595959"/>
          <w:sz w:val="19"/>
        </w:rPr>
        <w:t>GMP CSV Controlled Document</w:t>
      </w:r>
    </w:p>
    <w:p>
      <w:pPr>
        <w:spacing w:after="80"/>
      </w:pPr>
      <w:r>
        <w:rPr>
          <w:rFonts w:ascii="Calibri" w:hAnsi="Calibri"/>
          <w:b/>
          <w:color w:val="0B2545"/>
          <w:sz w:val="44"/>
        </w:rPr>
        <w:t>Data Integrity Risk Assessment</w:t>
      </w:r>
    </w:p>
    <w:p>
      <w:pPr>
        <w:spacing w:after="200"/>
      </w:pPr>
      <w:r>
        <w:rPr>
          <w:rFonts w:ascii="Calibri" w:hAnsi="Calibri"/>
          <w:color w:val="595959"/>
          <w:sz w:val="23"/>
        </w:rPr>
        <w:t>QCLabOne 2.0 QC Laboratory Digital Platform Replacement Project</w:t>
      </w:r>
    </w:p>
    <w:tbl>
      <w:tblPr>
        <w:tblStyle w:val="TableGrid"/>
        <w:tblW w:type="dxa" w:w="9360"/>
        <w:tblLayout w:type="fixed"/>
        <w:tblLook w:firstColumn="1" w:firstRow="1" w:lastColumn="0" w:lastRow="0" w:noHBand="0" w:noVBand="1" w:val="04A0"/>
        <w:tblInd w:w="120" w:type="dxa"/>
      </w:tblPr>
      <w:tblGrid>
        <w:gridCol w:w="2700"/>
        <w:gridCol w:w="6660"/>
      </w:tblGrid>
      <w:tr>
        <w:trPr>
          <w:tblHeader w:val="true"/>
        </w:trPr>
        <w:tc>
          <w:tcPr>
            <w:tcW w:type="dxa" w:w="270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Control Field</w:t>
            </w:r>
          </w:p>
        </w:tc>
        <w:tc>
          <w:tcPr>
            <w:tcW w:type="dxa" w:w="666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Value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Document number</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QCL-2026-DIRA-001</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System</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QCLabOne 2.0 LIMS/LES</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Lifecycle phase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Risk and Compliance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Version</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1.0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Effective/record date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2026-03-20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Status</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Approved in fictional case</w:t>
            </w:r>
          </w:p>
        </w:tc>
      </w:tr>
    </w:tbl>
    <w:p>
      <w:pPr>
        <w:spacing w:after="80"/>
      </w:pPr>
    </w:p>
    <w:tbl>
      <w:tblPr>
        <w:tblStyle w:val="TableGrid"/>
        <w:tblW w:type="dxa" w:w="9360"/>
        <w:tblLayout w:type="fixed"/>
        <w:tblLook w:firstColumn="1" w:firstRow="1" w:lastColumn="0" w:lastRow="0" w:noHBand="0" w:noVBand="1" w:val="04A0"/>
        <w:tblInd w:w="120" w:type="dxa"/>
      </w:tblPr>
      <w:tblGrid>
        <w:gridCol w:w="9360"/>
      </w:tblGrid>
      <w:tr>
        <w:tc>
          <w:tcPr>
            <w:tcW w:type="dxa" w:w="9360"/>
            <w:shd w:fill="F7F9FC"/>
            <w:vAlign w:val="center"/>
            <w:tcMar>
              <w:top w:w="80" w:type="dxa"/>
              <w:bottom w:w="80" w:type="dxa"/>
              <w:start w:w="120" w:type="dxa"/>
              <w:end w:w="120" w:type="dxa"/>
            </w:tcMar>
          </w:tcPr>
          <w:p>
            <w:pPr>
              <w:spacing w:after="0" w:line="276" w:lineRule="auto"/>
            </w:pPr>
            <w:r/>
            <w:r>
              <w:rPr>
                <w:rFonts w:ascii="Calibri" w:hAnsi="Calibri"/>
                <w:b w:val="0"/>
                <w:color w:val="595959"/>
                <w:sz w:val="19"/>
              </w:rPr>
              <w:t>Use notice: This Markdown file is a fully populated fictional CSV training case. It is not an executed GMP record and does not replace company procedures, approved signatures, supplier evidence, or site-specific risk decisions.</w:t>
            </w:r>
          </w:p>
        </w:tc>
      </w:tr>
    </w:tbl>
    <w:p>
      <w:pPr>
        <w:spacing w:after="80"/>
      </w:pPr>
    </w:p>
    <w:p>
      <w:pPr>
        <w:pStyle w:val="Heading1"/>
      </w:pPr>
      <w:r>
        <w:t>Document control</w:t>
      </w:r>
    </w:p>
    <w:tbl>
      <w:tblPr>
        <w:tblStyle w:val="TableGrid"/>
        <w:tblW w:type="dxa" w:w="9360"/>
        <w:tblLayout w:type="fixed"/>
        <w:tblLook w:firstColumn="1" w:firstRow="1" w:lastColumn="0" w:lastRow="0" w:noHBand="0" w:noVBand="1" w:val="04A0"/>
        <w:tblInd w:w="120" w:type="dxa"/>
      </w:tblPr>
      <w:tblGrid>
        <w:gridCol w:w="2586"/>
        <w:gridCol w:w="6774"/>
      </w:tblGrid>
      <w:tr>
        <w:trPr>
          <w:tblHeader w:val="true"/>
        </w:trPr>
        <w:tc>
          <w:tcPr>
            <w:tcW w:type="dxa" w:w="258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Field</w:t>
            </w:r>
          </w:p>
        </w:tc>
        <w:tc>
          <w:tcPr>
            <w:tcW w:type="dxa" w:w="677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Value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Document number</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QCL-2026-DIRA-001</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Company</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NovaSterile Pharma Co., Ltd.</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Suzhou Sterile Products Manufacturing Site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QC Laboratory Digital Platform Replacement Project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LIMS/LES</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Lifecycle phase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Risk and Compliance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Version</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Effective/record date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2026-03-20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Case status</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Governing references</w:t>
      </w:r>
    </w:p>
    <w:p>
      <w:pPr>
        <w:pStyle w:val="ListBullet"/>
        <w:spacing w:after="80" w:line="300" w:lineRule="auto"/>
      </w:pPr>
      <w:r>
        <w:rPr>
          <w:rFonts w:ascii="Calibri" w:hAnsi="Calibri"/>
          <w:color w:val="000000"/>
          <w:sz w:val="22"/>
        </w:rPr>
        <w:t>China GMP (2010 Revision), Appendix: Computerised Systems (effective 1 December 2015)</w:t>
      </w:r>
    </w:p>
    <w:p>
      <w:pPr>
        <w:pStyle w:val="ListBullet"/>
        <w:spacing w:after="80" w:line="300" w:lineRule="auto"/>
      </w:pPr>
      <w:r>
        <w:rPr>
          <w:rFonts w:ascii="Calibri" w:hAnsi="Calibri"/>
          <w:color w:val="000000"/>
          <w:sz w:val="22"/>
        </w:rPr>
        <w:t>China GMP (2010 Revision), Appendix: Qualification and Validation (effective 1 December 2015)</w:t>
      </w:r>
    </w:p>
    <w:p>
      <w:pPr>
        <w:pStyle w:val="ListBullet"/>
        <w:spacing w:after="80" w:line="300" w:lineRule="auto"/>
      </w:pPr>
      <w:r>
        <w:rPr>
          <w:rFonts w:ascii="Calibri" w:hAnsi="Calibri"/>
          <w:color w:val="000000"/>
          <w:sz w:val="22"/>
        </w:rPr>
        <w:t>EU GMP Annex 11: Computerised Systems (2011)</w:t>
      </w:r>
    </w:p>
    <w:p>
      <w:pPr>
        <w:pStyle w:val="ListBullet"/>
        <w:spacing w:after="80" w:line="300" w:lineRule="auto"/>
      </w:pPr>
      <w:r>
        <w:rPr>
          <w:rFonts w:ascii="Calibri" w:hAnsi="Calibri"/>
          <w:color w:val="000000"/>
          <w:sz w:val="22"/>
        </w:rPr>
        <w:t>EU GMP Annex 15: Qualification and Validation (2015)</w:t>
      </w:r>
    </w:p>
    <w:p>
      <w:pPr>
        <w:pStyle w:val="ListBullet"/>
        <w:spacing w:after="80" w:line="300" w:lineRule="auto"/>
      </w:pPr>
      <w:r>
        <w:rPr>
          <w:rFonts w:ascii="Calibri" w:hAnsi="Calibri"/>
          <w:color w:val="000000"/>
          <w:sz w:val="22"/>
        </w:rPr>
        <w:t>21 CFR Part 11: Electronic Records; Electronic Signatures</w:t>
      </w:r>
    </w:p>
    <w:p>
      <w:pPr>
        <w:pStyle w:val="ListBullet"/>
        <w:spacing w:after="80" w:line="300" w:lineRule="auto"/>
      </w:pPr>
      <w:r>
        <w:rPr>
          <w:rFonts w:ascii="Calibri" w:hAnsi="Calibri"/>
          <w:color w:val="000000"/>
          <w:sz w:val="22"/>
        </w:rPr>
        <w:t>FDA Guidance: Part 11, Electronic Records; Electronic Signatures — Scope and Application</w:t>
      </w:r>
    </w:p>
    <w:p>
      <w:pPr>
        <w:pStyle w:val="ListBullet"/>
        <w:spacing w:after="80" w:line="300" w:lineRule="auto"/>
      </w:pPr>
      <w:r>
        <w:rPr>
          <w:rFonts w:ascii="Calibri" w:hAnsi="Calibri"/>
          <w:color w:val="000000"/>
          <w:sz w:val="22"/>
        </w:rPr>
        <w:t>PIC/S PI 041-1: Good Practices for Data Management and Integrity in Regulated GMP/GDP Environments (2021)</w:t>
      </w:r>
    </w:p>
    <w:p>
      <w:pPr>
        <w:pStyle w:val="ListBullet"/>
        <w:spacing w:after="80" w:line="300" w:lineRule="auto"/>
      </w:pPr>
      <w:r>
        <w:rPr>
          <w:rFonts w:ascii="Calibri" w:hAnsi="Calibri"/>
          <w:color w:val="000000"/>
          <w:sz w:val="22"/>
        </w:rPr>
        <w:t>ISPE GAMP 5, Second Edition (2022), used as non-binding industry guidance</w:t>
      </w:r>
    </w:p>
    <w:p>
      <w:pPr>
        <w:pStyle w:val="Heading1"/>
      </w:pPr>
      <w:r>
        <w:t>1. Objective and method</w:t>
      </w:r>
    </w:p>
    <w:p>
      <w:pPr>
        <w:spacing w:after="120" w:line="300" w:lineRule="auto"/>
      </w:pPr>
      <w:r>
        <w:rPr>
          <w:rFonts w:ascii="Calibri" w:hAnsi="Calibri"/>
          <w:b w:val="0"/>
          <w:i w:val="0"/>
          <w:color w:val="000000"/>
          <w:sz w:val="22"/>
        </w:rPr>
        <w:t>This assessment evaluates the complete data lifecycle using ALCOA+ principles: attributable, legible, contemporaneous, original, accurate, complete, consistent, enduring and available. “C” means completeness, “A” attributable, “Cont” contemporaneous, “O” original, “Acu” accurate, “Cns” consistent, “E” enduring and “Av” available.</w:t>
      </w:r>
    </w:p>
    <w:p>
      <w:pPr>
        <w:pStyle w:val="Heading1"/>
      </w:pPr>
      <w:r>
        <w:t>2. Data lifecycle inventory and risks</w:t>
      </w:r>
    </w:p>
    <w:tbl>
      <w:tblPr>
        <w:tblStyle w:val="TableGrid"/>
        <w:tblW w:type="dxa" w:w="9360"/>
        <w:tblLayout w:type="fixed"/>
        <w:tblLook w:firstColumn="1" w:firstRow="1" w:lastColumn="0" w:lastRow="0" w:noHBand="0" w:noVBand="1" w:val="04A0"/>
        <w:tblInd w:w="120" w:type="dxa"/>
      </w:tblPr>
      <w:tblGrid>
        <w:gridCol w:w="720"/>
        <w:gridCol w:w="1236"/>
        <w:gridCol w:w="1324"/>
        <w:gridCol w:w="2340"/>
        <w:gridCol w:w="720"/>
        <w:gridCol w:w="2428"/>
        <w:gridCol w:w="592"/>
      </w:tblGrid>
      <w:tr>
        <w:trPr>
          <w:tblHeader w:val="true"/>
        </w:trPr>
        <w:tc>
          <w:tcPr>
            <w:tcW w:type="dxa" w:w="720"/>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5"/>
              </w:rPr>
              <w:t>ID</w:t>
            </w:r>
          </w:p>
        </w:tc>
        <w:tc>
          <w:tcPr>
            <w:tcW w:type="dxa" w:w="123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5"/>
              </w:rPr>
              <w:t>Data</w:t>
            </w:r>
          </w:p>
        </w:tc>
        <w:tc>
          <w:tcPr>
            <w:tcW w:type="dxa" w:w="13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5"/>
              </w:rPr>
              <w:t>Lifecycle stage</w:t>
            </w:r>
          </w:p>
        </w:tc>
        <w:tc>
          <w:tcPr>
            <w:tcW w:type="dxa" w:w="234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5"/>
              </w:rPr>
              <w:t>Failure mode</w:t>
            </w:r>
          </w:p>
        </w:tc>
        <w:tc>
          <w:tcPr>
            <w:tcW w:type="dxa" w:w="720"/>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5"/>
              </w:rPr>
              <w:t>ALCOA+</w:t>
            </w:r>
          </w:p>
        </w:tc>
        <w:tc>
          <w:tcPr>
            <w:tcW w:type="dxa" w:w="242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5"/>
              </w:rPr>
              <w:t>Controls</w:t>
            </w:r>
          </w:p>
        </w:tc>
        <w:tc>
          <w:tcPr>
            <w:tcW w:type="dxa" w:w="59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5"/>
              </w:rPr>
              <w:t>Residual risk</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DIRA-01</w:t>
            </w:r>
          </w:p>
        </w:tc>
        <w:tc>
          <w:tcPr>
            <w:tcW w:type="dxa" w:w="1236"/>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SAP sample request</w:t>
            </w:r>
          </w:p>
        </w:tc>
        <w:tc>
          <w:tcPr>
            <w:tcW w:type="dxa" w:w="1324"/>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Creation/transmission</w:t>
            </w:r>
          </w:p>
        </w:tc>
        <w:tc>
          <w:tcPr>
            <w:tcW w:type="dxa" w:w="234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Incorrect source data or duplicate message</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C,A</w:t>
            </w:r>
          </w:p>
        </w:tc>
        <w:tc>
          <w:tcPr>
            <w:tcW w:type="dxa" w:w="242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Unique message ID, validation, exception queue, reconciliation</w:t>
            </w:r>
          </w:p>
        </w:tc>
        <w:tc>
          <w:tcPr>
            <w:tcW w:type="dxa" w:w="59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Medium</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DIRA-02</w:t>
            </w:r>
          </w:p>
        </w:tc>
        <w:tc>
          <w:tcPr>
            <w:tcW w:type="dxa" w:w="1236"/>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Sample ID/barcode</w:t>
            </w:r>
          </w:p>
        </w:tc>
        <w:tc>
          <w:tcPr>
            <w:tcW w:type="dxa" w:w="1324"/>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Creation/printing</w:t>
            </w:r>
          </w:p>
        </w:tc>
        <w:tc>
          <w:tcPr>
            <w:tcW w:type="dxa" w:w="234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Duplicate or mis-associated identity</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A,C,O</w:t>
            </w:r>
          </w:p>
        </w:tc>
        <w:tc>
          <w:tcPr>
            <w:tcW w:type="dxa" w:w="242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Unique sequence, barcode verification, chain-of-custody</w:t>
            </w:r>
          </w:p>
        </w:tc>
        <w:tc>
          <w:tcPr>
            <w:tcW w:type="dxa" w:w="59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Low</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DIRA-03</w:t>
            </w:r>
          </w:p>
        </w:tc>
        <w:tc>
          <w:tcPr>
            <w:tcW w:type="dxa" w:w="1236"/>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Sample receipt record</w:t>
            </w:r>
          </w:p>
        </w:tc>
        <w:tc>
          <w:tcPr>
            <w:tcW w:type="dxa" w:w="1324"/>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Creation/modification</w:t>
            </w:r>
          </w:p>
        </w:tc>
        <w:tc>
          <w:tcPr>
            <w:tcW w:type="dxa" w:w="234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Backdating or incomplete receipt information</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A,C,Cont</w:t>
            </w:r>
          </w:p>
        </w:tc>
        <w:tc>
          <w:tcPr>
            <w:tcW w:type="dxa" w:w="242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Mandatory fields, timestamp, audit trail, reason for change</w:t>
            </w:r>
          </w:p>
        </w:tc>
        <w:tc>
          <w:tcPr>
            <w:tcW w:type="dxa" w:w="59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Low</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DIRA-04</w:t>
            </w:r>
          </w:p>
        </w:tc>
        <w:tc>
          <w:tcPr>
            <w:tcW w:type="dxa" w:w="1236"/>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Specification/method version</w:t>
            </w:r>
          </w:p>
        </w:tc>
        <w:tc>
          <w:tcPr>
            <w:tcW w:type="dxa" w:w="1324"/>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Master data lifecycle</w:t>
            </w:r>
          </w:p>
        </w:tc>
        <w:tc>
          <w:tcPr>
            <w:tcW w:type="dxa" w:w="234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Obsolete version used or history overwritten</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O,A,C,E</w:t>
            </w:r>
          </w:p>
        </w:tc>
        <w:tc>
          <w:tcPr>
            <w:tcW w:type="dxa" w:w="242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Approval/effective date, immutable history, change control</w:t>
            </w:r>
          </w:p>
        </w:tc>
        <w:tc>
          <w:tcPr>
            <w:tcW w:type="dxa" w:w="59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Medium</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DIRA-05</w:t>
            </w:r>
          </w:p>
        </w:tc>
        <w:tc>
          <w:tcPr>
            <w:tcW w:type="dxa" w:w="1236"/>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LES observations</w:t>
            </w:r>
          </w:p>
        </w:tc>
        <w:tc>
          <w:tcPr>
            <w:tcW w:type="dxa" w:w="1324"/>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Creation/review</w:t>
            </w:r>
          </w:p>
        </w:tc>
        <w:tc>
          <w:tcPr>
            <w:tcW w:type="dxa" w:w="234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Data entered late, omitted, or attributed incorrectly</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A,Cont,C</w:t>
            </w:r>
          </w:p>
        </w:tc>
        <w:tc>
          <w:tcPr>
            <w:tcW w:type="dxa" w:w="242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Unique user, step timestamp, required fields, review</w:t>
            </w:r>
          </w:p>
        </w:tc>
        <w:tc>
          <w:tcPr>
            <w:tcW w:type="dxa" w:w="59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Medium</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DIRA-06</w:t>
            </w:r>
          </w:p>
        </w:tc>
        <w:tc>
          <w:tcPr>
            <w:tcW w:type="dxa" w:w="1236"/>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Balance/pH/TOC result</w:t>
            </w:r>
          </w:p>
        </w:tc>
        <w:tc>
          <w:tcPr>
            <w:tcW w:type="dxa" w:w="1324"/>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Capture/transmission</w:t>
            </w:r>
          </w:p>
        </w:tc>
        <w:tc>
          <w:tcPr>
            <w:tcW w:type="dxa" w:w="234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Manual transcription or unit conversion error</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O,A,C</w:t>
            </w:r>
          </w:p>
        </w:tc>
        <w:tc>
          <w:tcPr>
            <w:tcW w:type="dxa" w:w="242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Direct interface, source metadata, unit validation</w:t>
            </w:r>
          </w:p>
        </w:tc>
        <w:tc>
          <w:tcPr>
            <w:tcW w:type="dxa" w:w="59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Low</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DIRA-07</w:t>
            </w:r>
          </w:p>
        </w:tc>
        <w:tc>
          <w:tcPr>
            <w:tcW w:type="dxa" w:w="1236"/>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CDS numeric result/link</w:t>
            </w:r>
          </w:p>
        </w:tc>
        <w:tc>
          <w:tcPr>
            <w:tcW w:type="dxa" w:w="1324"/>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Approval/transmission</w:t>
            </w:r>
          </w:p>
        </w:tc>
        <w:tc>
          <w:tcPr>
            <w:tcW w:type="dxa" w:w="234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LIMS result differs from CDS source or link breaks</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O,A,C,E</w:t>
            </w:r>
          </w:p>
        </w:tc>
        <w:tc>
          <w:tcPr>
            <w:tcW w:type="dxa" w:w="242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Approved-result interface, stable ID/link, reconciliation</w:t>
            </w:r>
          </w:p>
        </w:tc>
        <w:tc>
          <w:tcPr>
            <w:tcW w:type="dxa" w:w="59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Medium</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DIRA-08</w:t>
            </w:r>
          </w:p>
        </w:tc>
        <w:tc>
          <w:tcPr>
            <w:tcW w:type="dxa" w:w="1236"/>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Manual result entry</w:t>
            </w:r>
          </w:p>
        </w:tc>
        <w:tc>
          <w:tcPr>
            <w:tcW w:type="dxa" w:w="1324"/>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Creation/verification</w:t>
            </w:r>
          </w:p>
        </w:tc>
        <w:tc>
          <w:tcPr>
            <w:tcW w:type="dxa" w:w="234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Critical result entered incorrectly</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A,Acu,C</w:t>
            </w:r>
          </w:p>
        </w:tc>
        <w:tc>
          <w:tcPr>
            <w:tcW w:type="dxa" w:w="242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Reason, independent verification, audit trail</w:t>
            </w:r>
          </w:p>
        </w:tc>
        <w:tc>
          <w:tcPr>
            <w:tcW w:type="dxa" w:w="59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Medium</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DIRA-09</w:t>
            </w:r>
          </w:p>
        </w:tc>
        <w:tc>
          <w:tcPr>
            <w:tcW w:type="dxa" w:w="1236"/>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Calculation inputs/formula</w:t>
            </w:r>
          </w:p>
        </w:tc>
        <w:tc>
          <w:tcPr>
            <w:tcW w:type="dxa" w:w="1324"/>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Processing</w:t>
            </w:r>
          </w:p>
        </w:tc>
        <w:tc>
          <w:tcPr>
            <w:tcW w:type="dxa" w:w="234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Wrong formula, rounding or input version</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Acu,C,O</w:t>
            </w:r>
          </w:p>
        </w:tc>
        <w:tc>
          <w:tcPr>
            <w:tcW w:type="dxa" w:w="242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Controlled formula version, independent test, change control</w:t>
            </w:r>
          </w:p>
        </w:tc>
        <w:tc>
          <w:tcPr>
            <w:tcW w:type="dxa" w:w="59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Medium</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DIRA-10</w:t>
            </w:r>
          </w:p>
        </w:tc>
        <w:tc>
          <w:tcPr>
            <w:tcW w:type="dxa" w:w="1236"/>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Pass/fail decision</w:t>
            </w:r>
          </w:p>
        </w:tc>
        <w:tc>
          <w:tcPr>
            <w:tcW w:type="dxa" w:w="1324"/>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Processing/approval</w:t>
            </w:r>
          </w:p>
        </w:tc>
        <w:tc>
          <w:tcPr>
            <w:tcW w:type="dxa" w:w="234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Incorrect status drives batch disposition</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Acu,C</w:t>
            </w:r>
          </w:p>
        </w:tc>
        <w:tc>
          <w:tcPr>
            <w:tcW w:type="dxa" w:w="242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Boundary testing, review, locked approved state</w:t>
            </w:r>
          </w:p>
        </w:tc>
        <w:tc>
          <w:tcPr>
            <w:tcW w:type="dxa" w:w="59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Medium</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DIRA-11</w:t>
            </w:r>
          </w:p>
        </w:tc>
        <w:tc>
          <w:tcPr>
            <w:tcW w:type="dxa" w:w="1236"/>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OOS/OOT case linkage</w:t>
            </w:r>
          </w:p>
        </w:tc>
        <w:tc>
          <w:tcPr>
            <w:tcW w:type="dxa" w:w="1324"/>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Transmission</w:t>
            </w:r>
          </w:p>
        </w:tc>
        <w:tc>
          <w:tcPr>
            <w:tcW w:type="dxa" w:w="234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Duplicate or missing investigation</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C,A</w:t>
            </w:r>
          </w:p>
        </w:tc>
        <w:tc>
          <w:tcPr>
            <w:tcW w:type="dxa" w:w="242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Idempotent interface, case ID return, exception queue</w:t>
            </w:r>
          </w:p>
        </w:tc>
        <w:tc>
          <w:tcPr>
            <w:tcW w:type="dxa" w:w="59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Low</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DIRA-12</w:t>
            </w:r>
          </w:p>
        </w:tc>
        <w:tc>
          <w:tcPr>
            <w:tcW w:type="dxa" w:w="1236"/>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Electronic signature</w:t>
            </w:r>
          </w:p>
        </w:tc>
        <w:tc>
          <w:tcPr>
            <w:tcW w:type="dxa" w:w="1324"/>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Approval</w:t>
            </w:r>
          </w:p>
        </w:tc>
        <w:tc>
          <w:tcPr>
            <w:tcW w:type="dxa" w:w="234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Signature shared, detached or meaning unclear</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A,O,C</w:t>
            </w:r>
          </w:p>
        </w:tc>
        <w:tc>
          <w:tcPr>
            <w:tcW w:type="dxa" w:w="242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Unique credentials, re-authentication, record binding, manifestation</w:t>
            </w:r>
          </w:p>
        </w:tc>
        <w:tc>
          <w:tcPr>
            <w:tcW w:type="dxa" w:w="59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Low</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DIRA-13</w:t>
            </w:r>
          </w:p>
        </w:tc>
        <w:tc>
          <w:tcPr>
            <w:tcW w:type="dxa" w:w="1236"/>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Audit trail</w:t>
            </w:r>
          </w:p>
        </w:tc>
        <w:tc>
          <w:tcPr>
            <w:tcW w:type="dxa" w:w="1324"/>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Generation/review</w:t>
            </w:r>
          </w:p>
        </w:tc>
        <w:tc>
          <w:tcPr>
            <w:tcW w:type="dxa" w:w="234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Critical change not recorded or reviewed</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C,Cns,E,A</w:t>
            </w:r>
          </w:p>
        </w:tc>
        <w:tc>
          <w:tcPr>
            <w:tcW w:type="dxa" w:w="242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Always-on configuration, challenge test, periodic review</w:t>
            </w:r>
          </w:p>
        </w:tc>
        <w:tc>
          <w:tcPr>
            <w:tcW w:type="dxa" w:w="59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Medium</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DIRA-14</w:t>
            </w:r>
          </w:p>
        </w:tc>
        <w:tc>
          <w:tcPr>
            <w:tcW w:type="dxa" w:w="1236"/>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Role and access data</w:t>
            </w:r>
          </w:p>
        </w:tc>
        <w:tc>
          <w:tcPr>
            <w:tcW w:type="dxa" w:w="1324"/>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Administration</w:t>
            </w:r>
          </w:p>
        </w:tc>
        <w:tc>
          <w:tcPr>
            <w:tcW w:type="dxa" w:w="234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Unauthorized privilege or shared account</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A,C</w:t>
            </w:r>
          </w:p>
        </w:tc>
        <w:tc>
          <w:tcPr>
            <w:tcW w:type="dxa" w:w="242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Approved access requests, SoD, periodic review</w:t>
            </w:r>
          </w:p>
        </w:tc>
        <w:tc>
          <w:tcPr>
            <w:tcW w:type="dxa" w:w="59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Medium</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DIRA-15</w:t>
            </w:r>
          </w:p>
        </w:tc>
        <w:tc>
          <w:tcPr>
            <w:tcW w:type="dxa" w:w="1236"/>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Report/PDF output</w:t>
            </w:r>
          </w:p>
        </w:tc>
        <w:tc>
          <w:tcPr>
            <w:tcW w:type="dxa" w:w="1324"/>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Reporting</w:t>
            </w:r>
          </w:p>
        </w:tc>
        <w:tc>
          <w:tcPr>
            <w:tcW w:type="dxa" w:w="234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Truncation or mismatch to source record</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Acu,C</w:t>
            </w:r>
          </w:p>
        </w:tc>
        <w:tc>
          <w:tcPr>
            <w:tcW w:type="dxa" w:w="242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Template/version control and report verification</w:t>
            </w:r>
          </w:p>
        </w:tc>
        <w:tc>
          <w:tcPr>
            <w:tcW w:type="dxa" w:w="59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Low</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DIRA-16</w:t>
            </w:r>
          </w:p>
        </w:tc>
        <w:tc>
          <w:tcPr>
            <w:tcW w:type="dxa" w:w="1236"/>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Backup copy</w:t>
            </w:r>
          </w:p>
        </w:tc>
        <w:tc>
          <w:tcPr>
            <w:tcW w:type="dxa" w:w="1324"/>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Backup/retention</w:t>
            </w:r>
          </w:p>
        </w:tc>
        <w:tc>
          <w:tcPr>
            <w:tcW w:type="dxa" w:w="234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Backup incomplete, unreadable or not monitored</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C,E,A</w:t>
            </w:r>
          </w:p>
        </w:tc>
        <w:tc>
          <w:tcPr>
            <w:tcW w:type="dxa" w:w="242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Automated backup, monitoring, restore test</w:t>
            </w:r>
          </w:p>
        </w:tc>
        <w:tc>
          <w:tcPr>
            <w:tcW w:type="dxa" w:w="59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Medium</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DIRA-17</w:t>
            </w:r>
          </w:p>
        </w:tc>
        <w:tc>
          <w:tcPr>
            <w:tcW w:type="dxa" w:w="1236"/>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Migrated record</w:t>
            </w:r>
          </w:p>
        </w:tc>
        <w:tc>
          <w:tcPr>
            <w:tcW w:type="dxa" w:w="1324"/>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Migration</w:t>
            </w:r>
          </w:p>
        </w:tc>
        <w:tc>
          <w:tcPr>
            <w:tcW w:type="dxa" w:w="234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Field, attachment or relationship lost</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C,Acu,O,E</w:t>
            </w:r>
          </w:p>
        </w:tc>
        <w:tc>
          <w:tcPr>
            <w:tcW w:type="dxa" w:w="242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Mapping, counts, field sampling, hash and relationship checks</w:t>
            </w:r>
          </w:p>
        </w:tc>
        <w:tc>
          <w:tcPr>
            <w:tcW w:type="dxa" w:w="59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Medium</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DIRA-18</w:t>
            </w:r>
          </w:p>
        </w:tc>
        <w:tc>
          <w:tcPr>
            <w:tcW w:type="dxa" w:w="1236"/>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Archived legacy record</w:t>
            </w:r>
          </w:p>
        </w:tc>
        <w:tc>
          <w:tcPr>
            <w:tcW w:type="dxa" w:w="1324"/>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Archive/retrieval</w:t>
            </w:r>
          </w:p>
        </w:tc>
        <w:tc>
          <w:tcPr>
            <w:tcW w:type="dxa" w:w="234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Record or audit trail cannot be retrieved</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A,E,C</w:t>
            </w:r>
          </w:p>
        </w:tc>
        <w:tc>
          <w:tcPr>
            <w:tcW w:type="dxa" w:w="242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Read-only archive qualification and sample retrieval</w:t>
            </w:r>
          </w:p>
        </w:tc>
        <w:tc>
          <w:tcPr>
            <w:tcW w:type="dxa" w:w="59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Medium</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DIRA-19</w:t>
            </w:r>
          </w:p>
        </w:tc>
        <w:tc>
          <w:tcPr>
            <w:tcW w:type="dxa" w:w="1236"/>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System time</w:t>
            </w:r>
          </w:p>
        </w:tc>
        <w:tc>
          <w:tcPr>
            <w:tcW w:type="dxa" w:w="1324"/>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Infrastructure</w:t>
            </w:r>
          </w:p>
        </w:tc>
        <w:tc>
          <w:tcPr>
            <w:tcW w:type="dxa" w:w="234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Timestamp drift obscures sequence of events</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Cont,C</w:t>
            </w:r>
          </w:p>
        </w:tc>
        <w:tc>
          <w:tcPr>
            <w:tcW w:type="dxa" w:w="242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Authoritative time sync and monitoring</w:t>
            </w:r>
          </w:p>
        </w:tc>
        <w:tc>
          <w:tcPr>
            <w:tcW w:type="dxa" w:w="59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Low</w:t>
            </w:r>
          </w:p>
        </w:tc>
      </w:tr>
      <w:tr>
        <w:tc>
          <w:tcPr>
            <w:tcW w:type="dxa" w:w="720"/>
            <w:vAlign w:val="center"/>
            <w:tcMar>
              <w:top w:w="80" w:type="dxa"/>
              <w:bottom w:w="80" w:type="dxa"/>
              <w:start w:w="120" w:type="dxa"/>
              <w:end w:w="120" w:type="dxa"/>
            </w:tcMar>
          </w:tcPr>
          <w:p>
            <w:pPr>
              <w:spacing w:after="0" w:line="276" w:lineRule="auto"/>
              <w:jc w:val="center"/>
            </w:pPr>
            <w:r/>
            <w:r>
              <w:rPr>
                <w:rFonts w:ascii="Calibri" w:hAnsi="Calibri"/>
                <w:b w:val="0"/>
                <w:color w:val="000000"/>
                <w:sz w:val="15"/>
              </w:rPr>
              <w:t>DIRA-20</w:t>
            </w:r>
          </w:p>
        </w:tc>
        <w:tc>
          <w:tcPr>
            <w:tcW w:type="dxa" w:w="1236"/>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Contingency paper record</w:t>
            </w:r>
          </w:p>
        </w:tc>
        <w:tc>
          <w:tcPr>
            <w:tcW w:type="dxa" w:w="1324"/>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Outage/reconciliation</w:t>
            </w:r>
          </w:p>
        </w:tc>
        <w:tc>
          <w:tcPr>
            <w:tcW w:type="dxa" w:w="234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Late or duplicate transcription after recovery</w:t>
            </w:r>
          </w:p>
        </w:tc>
        <w:tc>
          <w:tcPr>
            <w:tcW w:type="dxa" w:w="720"/>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Cont,O,C</w:t>
            </w:r>
          </w:p>
        </w:tc>
        <w:tc>
          <w:tcPr>
            <w:tcW w:type="dxa" w:w="2428"/>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Controlled forms, log, independent reconciliation</w:t>
            </w:r>
          </w:p>
        </w:tc>
        <w:tc>
          <w:tcPr>
            <w:tcW w:type="dxa" w:w="592"/>
            <w:vAlign w:val="center"/>
            <w:tcMar>
              <w:top w:w="80" w:type="dxa"/>
              <w:bottom w:w="80" w:type="dxa"/>
              <w:start w:w="120" w:type="dxa"/>
              <w:end w:w="120" w:type="dxa"/>
            </w:tcMar>
          </w:tcPr>
          <w:p>
            <w:pPr>
              <w:spacing w:after="0" w:line="276" w:lineRule="auto"/>
              <w:jc w:val="left"/>
            </w:pPr>
            <w:r/>
            <w:r>
              <w:rPr>
                <w:rFonts w:ascii="Calibri" w:hAnsi="Calibri"/>
                <w:b w:val="0"/>
                <w:color w:val="000000"/>
                <w:sz w:val="15"/>
              </w:rPr>
              <w:t>Medium</w:t>
            </w:r>
          </w:p>
        </w:tc>
      </w:tr>
    </w:tbl>
    <w:p>
      <w:pPr>
        <w:spacing w:after="80"/>
      </w:pPr>
    </w:p>
    <w:p>
      <w:pPr>
        <w:pStyle w:val="Heading1"/>
      </w:pPr>
      <w:r>
        <w:t>3. Data ownership decisions</w:t>
      </w:r>
    </w:p>
    <w:p>
      <w:pPr>
        <w:pStyle w:val="ListBullet"/>
        <w:spacing w:after="80" w:line="300" w:lineRule="auto"/>
      </w:pPr>
      <w:r>
        <w:rPr>
          <w:rFonts w:ascii="Calibri" w:hAnsi="Calibri"/>
          <w:color w:val="000000"/>
          <w:sz w:val="22"/>
        </w:rPr>
        <w:t>QCLabOne is the official source for sample, LES, calculation, review, signature and audit records.</w:t>
      </w:r>
    </w:p>
    <w:p>
      <w:pPr>
        <w:pStyle w:val="ListBullet"/>
        <w:spacing w:after="80" w:line="300" w:lineRule="auto"/>
      </w:pPr>
      <w:r>
        <w:rPr>
          <w:rFonts w:ascii="Calibri" w:hAnsi="Calibri"/>
          <w:color w:val="000000"/>
          <w:sz w:val="22"/>
        </w:rPr>
        <w:t>CDS/SDMS is the official source for chromatographic raw/processed data.</w:t>
      </w:r>
    </w:p>
    <w:p>
      <w:pPr>
        <w:pStyle w:val="ListBullet"/>
        <w:spacing w:after="80" w:line="300" w:lineRule="auto"/>
      </w:pPr>
      <w:r>
        <w:rPr>
          <w:rFonts w:ascii="Calibri" w:hAnsi="Calibri"/>
          <w:color w:val="000000"/>
          <w:sz w:val="22"/>
        </w:rPr>
        <w:t>eQMS is the official source for OOS/OOT investigation content.</w:t>
      </w:r>
    </w:p>
    <w:p>
      <w:pPr>
        <w:pStyle w:val="ListBullet"/>
        <w:spacing w:after="80" w:line="300" w:lineRule="auto"/>
      </w:pPr>
      <w:r>
        <w:rPr>
          <w:rFonts w:ascii="Calibri" w:hAnsi="Calibri"/>
          <w:color w:val="000000"/>
          <w:sz w:val="22"/>
        </w:rPr>
        <w:t>SAP is the official source for material/batch master and final release status.</w:t>
      </w:r>
    </w:p>
    <w:p>
      <w:pPr>
        <w:pStyle w:val="ListBullet"/>
        <w:spacing w:after="80" w:line="300" w:lineRule="auto"/>
      </w:pPr>
      <w:r>
        <w:rPr>
          <w:rFonts w:ascii="Calibri" w:hAnsi="Calibri"/>
          <w:color w:val="000000"/>
          <w:sz w:val="22"/>
        </w:rPr>
        <w:t>ArchiveVault becomes the official source for accepted retired Legacy LIMS records.</w:t>
      </w:r>
    </w:p>
    <w:p>
      <w:pPr>
        <w:pStyle w:val="ListBullet"/>
        <w:spacing w:after="80" w:line="300" w:lineRule="auto"/>
      </w:pPr>
      <w:r>
        <w:rPr>
          <w:rFonts w:ascii="Calibri" w:hAnsi="Calibri"/>
          <w:color w:val="000000"/>
          <w:sz w:val="22"/>
        </w:rPr>
        <w:t>Manual contingency records remain controlled originals and are linked to reconciled electronic records.</w:t>
      </w:r>
    </w:p>
    <w:p>
      <w:pPr>
        <w:pStyle w:val="Heading1"/>
      </w:pPr>
      <w:r>
        <w:t>4. Review frequency decisions</w:t>
      </w:r>
    </w:p>
    <w:p>
      <w:pPr>
        <w:spacing w:after="120" w:line="300" w:lineRule="auto"/>
      </w:pPr>
      <w:r>
        <w:rPr>
          <w:rFonts w:ascii="Calibri" w:hAnsi="Calibri"/>
          <w:b w:val="0"/>
          <w:i w:val="0"/>
          <w:color w:val="000000"/>
          <w:sz w:val="22"/>
        </w:rPr>
        <w:t>Critical result/specification/formula/role/signature audit trails are reviewed as part of record approval or defined periodic review. Privileged access and role changes are reviewed monthly; system-wide audit-trail trend review is quarterly.</w:t>
      </w:r>
    </w:p>
    <w:p>
      <w:pPr>
        <w:spacing w:after="120" w:line="300" w:lineRule="auto"/>
      </w:pPr>
      <w:r>
        <w:rPr>
          <w:rFonts w:ascii="Calibri" w:hAnsi="Calibri"/>
          <w:b w:val="0"/>
          <w:i w:val="0"/>
          <w:color w:val="000000"/>
          <w:sz w:val="22"/>
        </w:rPr>
        <w:t>Data-integrity controls are considered effective only when the owner can demonstrate both prevention and detection. Automated controls require configuration or test evidence. Procedural controls require approved SOP steps, trained users and review records. Hybrid/manual controls require reconciliation evidence showing that the electronic record and the controlled original remain linked.</w:t>
      </w:r>
    </w:p>
    <w:tbl>
      <w:tblPr>
        <w:tblStyle w:val="TableGrid"/>
        <w:tblW w:type="dxa" w:w="9360"/>
        <w:tblLayout w:type="fixed"/>
        <w:tblLook w:firstColumn="1" w:firstRow="1" w:lastColumn="0" w:lastRow="0" w:noHBand="0" w:noVBand="1" w:val="04A0"/>
        <w:tblInd w:w="120" w:type="dxa"/>
      </w:tblPr>
      <w:tblGrid>
        <w:gridCol w:w="4637"/>
        <w:gridCol w:w="4723"/>
      </w:tblGrid>
      <w:tr>
        <w:trPr>
          <w:tblHeader w:val="true"/>
        </w:trPr>
        <w:tc>
          <w:tcPr>
            <w:tcW w:type="dxa" w:w="4637"/>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Data-integrity control type</w:t>
            </w:r>
          </w:p>
        </w:tc>
        <w:tc>
          <w:tcPr>
            <w:tcW w:type="dxa" w:w="4723"/>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Required effectiveness evidence</w:t>
            </w:r>
          </w:p>
        </w:tc>
      </w:tr>
      <w:tr>
        <w:tc>
          <w:tcPr>
            <w:tcW w:type="dxa" w:w="463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Preventive system control</w:t>
            </w:r>
          </w:p>
        </w:tc>
        <w:tc>
          <w:tcPr>
            <w:tcW w:type="dxa" w:w="472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Configuration baseline, negative test or workflow challenge</w:t>
            </w:r>
          </w:p>
        </w:tc>
      </w:tr>
      <w:tr>
        <w:tc>
          <w:tcPr>
            <w:tcW w:type="dxa" w:w="463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Detective review control</w:t>
            </w:r>
          </w:p>
        </w:tc>
        <w:tc>
          <w:tcPr>
            <w:tcW w:type="dxa" w:w="472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 record, exception criteria and documented reviewer independence</w:t>
            </w:r>
          </w:p>
        </w:tc>
      </w:tr>
      <w:tr>
        <w:tc>
          <w:tcPr>
            <w:tcW w:type="dxa" w:w="463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Interface reconciliation</w:t>
            </w:r>
          </w:p>
        </w:tc>
        <w:tc>
          <w:tcPr>
            <w:tcW w:type="dxa" w:w="472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Source/target counts, rejected-message log and final disposition</w:t>
            </w:r>
          </w:p>
        </w:tc>
      </w:tr>
      <w:tr>
        <w:tc>
          <w:tcPr>
            <w:tcW w:type="dxa" w:w="463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Migration/archival control</w:t>
            </w:r>
          </w:p>
        </w:tc>
        <w:tc>
          <w:tcPr>
            <w:tcW w:type="dxa" w:w="472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Field checks, attachment/hash checks and retrievability sample</w:t>
            </w:r>
          </w:p>
        </w:tc>
      </w:tr>
      <w:tr>
        <w:tc>
          <w:tcPr>
            <w:tcW w:type="dxa" w:w="4637"/>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Manual contingency control</w:t>
            </w:r>
          </w:p>
        </w:tc>
        <w:tc>
          <w:tcPr>
            <w:tcW w:type="dxa" w:w="472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Controlled form, supervisor verification and post-recovery reconciliation</w:t>
            </w:r>
          </w:p>
        </w:tc>
      </w:tr>
    </w:tbl>
    <w:p>
      <w:pPr>
        <w:spacing w:after="80"/>
      </w:pPr>
    </w:p>
    <w:p>
      <w:pPr>
        <w:pStyle w:val="Heading1"/>
      </w:pPr>
      <w:r>
        <w:t>5. Related documents</w:t>
      </w:r>
    </w:p>
    <w:tbl>
      <w:tblPr>
        <w:tblStyle w:val="TableGrid"/>
        <w:tblW w:type="dxa" w:w="9360"/>
        <w:tblLayout w:type="fixed"/>
        <w:tblLook w:firstColumn="1" w:firstRow="1" w:lastColumn="0" w:lastRow="0" w:noHBand="0" w:noVBand="1" w:val="04A0"/>
        <w:tblInd w:w="120" w:type="dxa"/>
      </w:tblPr>
      <w:tblGrid>
        <w:gridCol w:w="2224"/>
        <w:gridCol w:w="2038"/>
        <w:gridCol w:w="5098"/>
      </w:tblGrid>
      <w:tr>
        <w:trPr>
          <w:tblHeader w:val="true"/>
        </w:trPr>
        <w:tc>
          <w:tcPr>
            <w:tcW w:type="dxa" w:w="22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Relationship</w:t>
            </w:r>
          </w:p>
        </w:tc>
        <w:tc>
          <w:tcPr>
            <w:tcW w:type="dxa" w:w="2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 ID</w:t>
            </w:r>
          </w:p>
        </w:tc>
        <w:tc>
          <w:tcPr>
            <w:tcW w:type="dxa" w:w="509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QCL-2026-IUS-001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Intended Use Statement](007_Intended_Use_Statement.md)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QCL-2026-BPD-001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Business Process Description](008_Business_Process_Description.md)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QCL-2026-PRA-001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[Preliminary Risk Assessment](011_Preliminary_Risk_Assessment.md)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QCL-2026-URS-001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[User Requirements Specification](022_User_Requirements_Specification.md)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QCL-2026-DDS-001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[Data Flow, Data Dictionary and Metadata Specification](028_Data_Flow_Data_Dictionary_and_Metadata_Specification.md)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QCL-2026-RAC-001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[Role and Access Control Matrix](031_Role_and_Access_Control_Matrix.md)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QCL-2026-ATS-001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[Audit Trail Specification](032_Audit_Trail_Specification.md)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QCL-2026-DMP-001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[Data Migration Strategy and Plan](036_Data_Migration_Strategy_and_Plan.md)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QCL-2026-FRA-001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[Functional Risk Assessment](038_Functional_Risk_Assessment.md)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QCL-2026-ATC-001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[Audit Trail Challenge Test Report](054_Audit_Trail_Challenge_Test_Report.md)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SOP-QA-ATR-001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Audit Trail Review SOP](068_Audit_Trail_Review_SOP.md)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QCL-2027-DIM-001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[Data Integrity Monitoring and Trend Report](082_Data_Integrity_Monitoring_and_Trend_Report.md)</w:t>
            </w:r>
          </w:p>
        </w:tc>
      </w:tr>
    </w:tbl>
    <w:p>
      <w:pPr>
        <w:spacing w:after="80"/>
      </w:pPr>
    </w:p>
    <w:p>
      <w:pPr>
        <w:pStyle w:val="Heading1"/>
      </w:pPr>
      <w:r>
        <w:t>Approval record</w:t>
      </w:r>
    </w:p>
    <w:tbl>
      <w:tblPr>
        <w:tblStyle w:val="TableGrid"/>
        <w:tblW w:type="dxa" w:w="9360"/>
        <w:tblLayout w:type="fixed"/>
        <w:tblLook w:firstColumn="1" w:firstRow="1" w:lastColumn="0" w:lastRow="0" w:noHBand="0" w:noVBand="1" w:val="04A0"/>
        <w:tblInd w:w="120" w:type="dxa"/>
      </w:tblPr>
      <w:tblGrid>
        <w:gridCol w:w="3333"/>
        <w:gridCol w:w="2692"/>
        <w:gridCol w:w="3335"/>
      </w:tblGrid>
      <w:tr>
        <w:trPr>
          <w:tblHeader w:val="true"/>
        </w:trPr>
        <w:tc>
          <w:tcPr>
            <w:tcW w:type="dxa" w:w="3333"/>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Approval step</w:t>
            </w:r>
          </w:p>
        </w:tc>
        <w:tc>
          <w:tcPr>
            <w:tcW w:type="dxa" w:w="269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Role</w:t>
            </w:r>
          </w:p>
        </w:tc>
        <w:tc>
          <w:tcPr>
            <w:tcW w:type="dxa" w:w="3335"/>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Case outcome</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Prepared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CSV/Quality Risk Lead</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Owner</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QA Validation Manager</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Revision history</w:t>
      </w:r>
    </w:p>
    <w:tbl>
      <w:tblPr>
        <w:tblStyle w:val="TableGrid"/>
        <w:tblW w:type="dxa" w:w="9360"/>
        <w:tblLayout w:type="fixed"/>
        <w:tblLook w:firstColumn="1" w:firstRow="1" w:lastColumn="0" w:lastRow="0" w:noHBand="0" w:noVBand="1" w:val="04A0"/>
        <w:tblInd w:w="120" w:type="dxa"/>
      </w:tblPr>
      <w:tblGrid>
        <w:gridCol w:w="2047"/>
        <w:gridCol w:w="1462"/>
        <w:gridCol w:w="5851"/>
      </w:tblGrid>
      <w:tr>
        <w:trPr>
          <w:tblHeader w:val="true"/>
        </w:trPr>
        <w:tc>
          <w:tcPr>
            <w:tcW w:type="dxa" w:w="2047"/>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Version</w:t>
            </w:r>
          </w:p>
        </w:tc>
        <w:tc>
          <w:tcPr>
            <w:tcW w:type="dxa" w:w="1462"/>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Date</w:t>
            </w:r>
          </w:p>
        </w:tc>
        <w:tc>
          <w:tcPr>
            <w:tcW w:type="dxa" w:w="585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Change</w:t>
            </w:r>
          </w:p>
        </w:tc>
      </w:tr>
      <w:tr>
        <w:tc>
          <w:tcPr>
            <w:tcW w:type="dxa" w:w="204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1.0</w:t>
            </w:r>
          </w:p>
        </w:tc>
        <w:tc>
          <w:tcPr>
            <w:tcW w:type="dxa" w:w="1462"/>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2026-03-20</w:t>
            </w:r>
          </w:p>
        </w:tc>
        <w:tc>
          <w:tcPr>
            <w:tcW w:type="dxa" w:w="58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Initial approved fictional case version.</w:t>
            </w:r>
          </w:p>
        </w:tc>
      </w:tr>
    </w:tbl>
    <w:p>
      <w:pPr>
        <w:spacing w:after="8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7"/>
      </w:rPr>
      <w:t xml:space="preserve">QCL-2026-DIRA-001 | Version 1.0 | Approved in fictional case | Page </w:t>
    </w:r>
    <w:r>
      <w:fldChar w:fldCharType="begin"/>
    </w:r>
    <w:r>
      <w:instrText xml:space="preserve"> PAGE </w:instrText>
    </w:r>
    <w:r>
      <w:fldChar w:fldCharType="separate"/>
    </w:r>
    <w:r>
      <w:rPr>
        <w:rFonts w:ascii="Calibri" w:hAnsi="Calibri"/>
        <w:color w:val="595959"/>
        <w:sz w:val="18"/>
      </w:rPr>
      <w:t>1</w:t>
    </w:r>
    <w:r>
      <w:fldChar w:fldCharType="end"/>
    </w:r>
    <w:r>
      <w:rPr>
        <w:rFonts w:ascii="Calibri" w:hAnsi="Calibri"/>
        <w:color w:val="595959"/>
        <w:sz w:val="17"/>
      </w:rPr>
      <w:t xml:space="preserve"> of </w:t>
    </w:r>
    <w:r>
      <w:fldChar w:fldCharType="begin"/>
    </w:r>
    <w:r>
      <w:instrText xml:space="preserve"> NUMPAGES </w:instrText>
    </w:r>
    <w:r>
      <w:fldChar w:fldCharType="separate"/>
    </w:r>
    <w:r>
      <w:rPr>
        <w:rFonts w:ascii="Calibri" w:hAnsi="Calibri"/>
        <w:color w:val="595959"/>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b/>
        <w:color w:val="595959"/>
        <w:sz w:val="17"/>
      </w:rPr>
      <w:t>QCL-2026 | QCLabOne 2.0 LIMS/LES</w:t>
    </w:r>
    <w:r>
      <w:tab/>
    </w:r>
    <w:r>
      <w:rPr>
        <w:rFonts w:ascii="Calibri" w:hAnsi="Calibri"/>
        <w:color w:val="595959"/>
        <w:sz w:val="17"/>
      </w:rPr>
      <w:t>QCL-2026-DIRA-001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Integrity Risk Assessment</dc:title>
  <dc:subject>GMP CSV controlled-document conversion</dc:subject>
  <dc:creator>CSV108 Markdown DOCX Converter</dc:creator>
  <cp:keywords>CSV, GMP, validation, DOCX, controlled document</cp:keywords>
  <dc:description>Converted from CSV108 Markdown source. Requires site-specific QA review before operational use.</dc:description>
  <cp:lastModifiedBy>CSV108 Markdown DOCX Converter</cp:lastModifiedBy>
  <cp:revision>1</cp:revision>
  <dcterms:created xsi:type="dcterms:W3CDTF">2026-06-19T09:00:00Z</dcterms:created>
  <dcterms:modified xsi:type="dcterms:W3CDTF">2026-06-19T09:00:00Z</dcterms:modified>
  <cp:category>GMP CSV</cp:category>
</cp:coreProperties>
</file>