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Cybersecurity and Privacy Impact Assessment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QCL-2026-CYB-001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Risk and Compliance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2026-03-20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QCL-2026-CYB-001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Risk and Compliance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2026-03-20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Scope</w:t>
      </w:r>
    </w:p>
    <w:p>
      <w:pPr>
        <w:spacing w:after="120" w:line="300" w:lineRule="auto"/>
      </w:pPr>
      <w:r>
        <w:rPr>
          <w:rFonts w:ascii="Calibri" w:hAnsi="Calibri"/>
          <w:b w:val="0"/>
          <w:i w:val="0"/>
          <w:color w:val="000000"/>
          <w:sz w:val="22"/>
        </w:rPr>
        <w:t>The assessment covers the vendor cloud tenant, interface gateway, identity federation, interfaces, remote support, backups and employee-identifying audit/signature data.</w:t>
      </w:r>
    </w:p>
    <w:p>
      <w:pPr>
        <w:pStyle w:val="Heading1"/>
      </w:pPr>
      <w:r>
        <w:t>2. Data classification and privacy</w:t>
      </w:r>
    </w:p>
    <w:p>
      <w:pPr>
        <w:spacing w:after="120" w:line="300" w:lineRule="auto"/>
      </w:pPr>
      <w:r>
        <w:rPr>
          <w:rFonts w:ascii="Calibri" w:hAnsi="Calibri"/>
          <w:b w:val="0"/>
          <w:i w:val="0"/>
          <w:color w:val="000000"/>
          <w:sz w:val="22"/>
        </w:rPr>
        <w:t>The system stores GMP records and limited business-personal data: employee name, corporate ID, role, signature manifestation and work activity. It stores no patient, clinical-subject, biometric or special-category health data. Production data is hosted in China East; no routine cross-border transfer is designed. Supplier support outside the hosting region may access only approved masked/non-production data unless exceptional access is approved and logged.</w:t>
      </w:r>
    </w:p>
    <w:p>
      <w:pPr>
        <w:pStyle w:val="Heading1"/>
      </w:pPr>
      <w:r>
        <w:t>3. Threat and control assessment</w:t>
      </w:r>
    </w:p>
    <w:tbl>
      <w:tblPr>
        <w:tblStyle w:val="TableGrid"/>
        <w:tblW w:type="dxa" w:w="9360"/>
        <w:tblLayout w:type="fixed"/>
        <w:tblLook w:firstColumn="1" w:firstRow="1" w:lastColumn="0" w:lastRow="0" w:noHBand="0" w:noVBand="1" w:val="04A0"/>
        <w:tblInd w:w="120" w:type="dxa"/>
      </w:tblPr>
      <w:tblGrid>
        <w:gridCol w:w="2133"/>
        <w:gridCol w:w="1651"/>
        <w:gridCol w:w="3785"/>
        <w:gridCol w:w="1791"/>
      </w:tblGrid>
      <w:tr>
        <w:trPr>
          <w:tblHeader w:val="true"/>
        </w:trPr>
        <w:tc>
          <w:tcPr>
            <w:tcW w:type="dxa" w:w="21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Threat</w:t>
            </w:r>
          </w:p>
        </w:tc>
        <w:tc>
          <w:tcPr>
            <w:tcW w:type="dxa" w:w="16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Initial risk</w:t>
            </w:r>
          </w:p>
        </w:tc>
        <w:tc>
          <w:tcPr>
            <w:tcW w:type="dxa" w:w="378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Key controls</w:t>
            </w:r>
          </w:p>
        </w:tc>
        <w:tc>
          <w:tcPr>
            <w:tcW w:type="dxa" w:w="179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Residual risk</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Unauthorised external access</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Dedicated tenant, WAF, MFA for privileged access, deny-by-default firewall, monitored vendor access</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Medium</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Credential compromise</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Corporate SSO, MFA, lockout, session timeout, security-event monitoring</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Low</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Excess privilege/SoD conflict</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RBAC matrix, privileged access review and recertification</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Medium</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Malware/ransomware on gateway</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EDR, application allowlisting, restricted service accounts, patching and offline/immutable backups</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Medium</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spoofing or tampering</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Mutual TLS, certificate management, message schema/ID validation and reconciliation</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Low</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Cloud service vulnerability</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vulnerability management, penetration testing summary, 24-hour critical-event notification</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Medium</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exfiltration</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Encryption, export permission, DLP logging and supplier agreement</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Medium</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compromise</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Encrypted immutable copy, separated credentials and restore test</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Low</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Certificate expiry</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Medium</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Inventory and automated 60/30/7-day alerts; change record for renewal</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Low</w:t>
            </w:r>
          </w:p>
        </w:tc>
      </w:tr>
      <w:tr>
        <w:tc>
          <w:tcPr>
            <w:tcW w:type="dxa" w:w="21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Privacy breach</w:t>
            </w:r>
          </w:p>
        </w:tc>
        <w:tc>
          <w:tcPr>
            <w:tcW w:type="dxa" w:w="16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Low</w:t>
            </w:r>
          </w:p>
        </w:tc>
        <w:tc>
          <w:tcPr>
            <w:tcW w:type="dxa" w:w="378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Only employee name/ID and work activity; no patient data; minimisation and role restriction</w:t>
            </w:r>
          </w:p>
        </w:tc>
        <w:tc>
          <w:tcPr>
            <w:tcW w:type="dxa" w:w="179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Low</w:t>
            </w:r>
          </w:p>
        </w:tc>
      </w:tr>
    </w:tbl>
    <w:p>
      <w:pPr>
        <w:spacing w:after="80"/>
      </w:pPr>
    </w:p>
    <w:p>
      <w:pPr>
        <w:pStyle w:val="Heading1"/>
      </w:pPr>
      <w:r>
        <w:t>4. Security requirements</w:t>
      </w:r>
    </w:p>
    <w:p>
      <w:pPr>
        <w:spacing w:after="120" w:line="300" w:lineRule="auto"/>
      </w:pPr>
      <w:r>
        <w:rPr>
          <w:rFonts w:ascii="Calibri" w:hAnsi="Calibri"/>
          <w:b w:val="0"/>
          <w:i w:val="0"/>
          <w:color w:val="000000"/>
          <w:sz w:val="22"/>
        </w:rPr>
        <w:t>TLS 1.2 or higher; encryption at rest; corporate SSO; MFA for privileged/vendor access; 15-minute session lock; monthly critical patch assessment; annual penetration-test summary; daily vulnerability monitoring; event retention for at least two years or longer when linked to a GMP investigation; security incident notification within four hours for suspected GxP impact.</w:t>
      </w:r>
    </w:p>
    <w:p>
      <w:pPr>
        <w:pStyle w:val="Heading1"/>
      </w:pPr>
      <w:r>
        <w:t>5. Privacy conclusion</w:t>
      </w:r>
    </w:p>
    <w:p>
      <w:pPr>
        <w:spacing w:after="120" w:line="300" w:lineRule="auto"/>
      </w:pPr>
      <w:r>
        <w:rPr>
          <w:rFonts w:ascii="Calibri" w:hAnsi="Calibri"/>
          <w:b w:val="0"/>
          <w:i w:val="0"/>
          <w:color w:val="000000"/>
          <w:sz w:val="22"/>
        </w:rPr>
        <w:t>The privacy impact is low after minimisation and access controls. Employee transparency is provided through the company privacy notice. Export of user activity is limited to legitimate quality, security and investigation purposes.</w:t>
      </w:r>
    </w:p>
    <w:p>
      <w:pPr>
        <w:spacing w:after="120" w:line="300" w:lineRule="auto"/>
      </w:pPr>
      <w:r>
        <w:rPr>
          <w:rFonts w:ascii="Calibri" w:hAnsi="Calibri"/>
          <w:b w:val="0"/>
          <w:i w:val="0"/>
          <w:color w:val="000000"/>
          <w:sz w:val="22"/>
        </w:rPr>
        <w:t>Security controls shall remain aligned with the validated state. A cybersecurity event is GxP-relevant when it could affect regulated data confidentiality, integrity, availability, auditability, electronic signatures, record retrieval or validated configuration. Privacy review shall be repeated before adding new personal-data fields, external support access paths or cross-border data processing.</w:t>
      </w:r>
    </w:p>
    <w:tbl>
      <w:tblPr>
        <w:tblStyle w:val="TableGrid"/>
        <w:tblW w:type="dxa" w:w="9360"/>
        <w:tblLayout w:type="fixed"/>
        <w:tblLook w:firstColumn="1" w:firstRow="1" w:lastColumn="0" w:lastRow="0" w:noHBand="0" w:noVBand="1" w:val="04A0"/>
        <w:tblInd w:w="120" w:type="dxa"/>
      </w:tblPr>
      <w:tblGrid>
        <w:gridCol w:w="3303"/>
        <w:gridCol w:w="6057"/>
      </w:tblGrid>
      <w:tr>
        <w:trPr>
          <w:tblHeader w:val="true"/>
        </w:trPr>
        <w:tc>
          <w:tcPr>
            <w:tcW w:type="dxa" w:w="330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Monitoring area</w:t>
            </w:r>
          </w:p>
        </w:tc>
        <w:tc>
          <w:tcPr>
            <w:tcW w:type="dxa" w:w="605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Required operating evidence</w:t>
            </w:r>
          </w:p>
        </w:tc>
      </w:tr>
      <w:tr>
        <w:tc>
          <w:tcPr>
            <w:tcW w:type="dxa" w:w="33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Privileged/vendor access</w:t>
            </w:r>
          </w:p>
        </w:tc>
        <w:tc>
          <w:tcPr>
            <w:tcW w:type="dxa" w:w="60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access window, session log and post-session review</w:t>
            </w:r>
          </w:p>
        </w:tc>
      </w:tr>
      <w:tr>
        <w:tc>
          <w:tcPr>
            <w:tcW w:type="dxa" w:w="33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Vulnerability management</w:t>
            </w:r>
          </w:p>
        </w:tc>
        <w:tc>
          <w:tcPr>
            <w:tcW w:type="dxa" w:w="60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Critical/high vulnerability assessment, patch decision and change record</w:t>
            </w:r>
          </w:p>
        </w:tc>
      </w:tr>
      <w:tr>
        <w:tc>
          <w:tcPr>
            <w:tcW w:type="dxa" w:w="33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Security event review</w:t>
            </w:r>
          </w:p>
        </w:tc>
        <w:tc>
          <w:tcPr>
            <w:tcW w:type="dxa" w:w="60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SIEM alert disposition and GxP impact assessment where relevant</w:t>
            </w:r>
          </w:p>
        </w:tc>
      </w:tr>
      <w:tr>
        <w:tc>
          <w:tcPr>
            <w:tcW w:type="dxa" w:w="33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Certificate/key management</w:t>
            </w:r>
          </w:p>
        </w:tc>
        <w:tc>
          <w:tcPr>
            <w:tcW w:type="dxa" w:w="60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Expiry inventory, renewal change and successful interface test</w:t>
            </w:r>
          </w:p>
        </w:tc>
      </w:tr>
      <w:tr>
        <w:tc>
          <w:tcPr>
            <w:tcW w:type="dxa" w:w="33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Privacy minimisation</w:t>
            </w:r>
          </w:p>
        </w:tc>
        <w:tc>
          <w:tcPr>
            <w:tcW w:type="dxa" w:w="60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user-data fields and access/export justification</w:t>
            </w:r>
          </w:p>
        </w:tc>
      </w:tr>
    </w:tbl>
    <w:p>
      <w:pPr>
        <w:spacing w:after="80"/>
      </w:pPr>
    </w:p>
    <w:p>
      <w:pPr>
        <w:pStyle w:val="Heading1"/>
      </w:pPr>
      <w:r>
        <w:t>6.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QCL-2026-SCP-001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Scope Statement](006_Project_Scope_Statement.md)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QCL-2026-IUS-001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Intended Use Statement](007_Intended_Use_Statement.md)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QCL-2026-GXP-001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GxP Impact Assessment](009_GxP_Impact_Assessment.md)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QCL-2026-DIRA-001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Integrity Risk Assessment](012_Data_Integrity_Risk_Assessment.md)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QCL-2026-QTA-001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[Quality/Technical Agreement and Service Level Agreement](020_Quality_Technical_Agreement_and_SLA.md)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QCL-2026-IAD-001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[Infrastructure and Architecture Design](026_Infrastructure_and_Architecture_Design.md)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and Access Control Matrix](031_Role_and_Access_Control_Matrix.md)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QCL-2026-BCP-001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Continuity and Disaster Recovery Plan](035_Business_Continuity_and_Disaster_Recovery_Plan.md)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QCL-2026-SEC-001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[Security, Access and Segregation of Duties Test Report](053_Security_Access_and_Segregation_of_Duties_Test.md)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QCL-2028-CVM-001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[Cybersecurity Vulnerability and Monitoring Report](094_Cybersecurity_Vulnerability_and_Monitoring_Report.md)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333"/>
        <w:gridCol w:w="2692"/>
        <w:gridCol w:w="3335"/>
      </w:tblGrid>
      <w:tr>
        <w:trPr>
          <w:tblHeader w:val="true"/>
        </w:trPr>
        <w:tc>
          <w:tcPr>
            <w:tcW w:type="dxa" w:w="33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69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33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CSV/Quality Risk Lead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2026-03-20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QCL-2026-CYB-001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QCL-2026-CYB-001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and Privacy Impact Assessment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