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RFI, RFP and Product Selection Record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QCL-2026-RFP-001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Management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2026-04-30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QCL-2026-RFP-001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Management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2026-04-30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Procurement objective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project sought a configurable LIMS/LES capable of supporting regulated QC workflows, electronic records/signatures, data integrity, integrations, migration and vendor-hosted operation.</w:t>
      </w:r>
    </w:p>
    <w:p>
      <w:pPr>
        <w:pStyle w:val="Heading1"/>
      </w:pPr>
      <w:r>
        <w:t>2. RFP mandatory requirements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7800"/>
      </w:tblGrid>
      <w:tr>
        <w:trPr>
          <w:tblHeader w:val="true"/>
        </w:trPr>
        <w:tc>
          <w:tcPr>
            <w:tcW w:type="dxa" w:w="1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Area</w:t>
            </w:r>
          </w:p>
        </w:tc>
        <w:tc>
          <w:tcPr>
            <w:tcW w:type="dxa" w:w="7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Mandatory condition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GxP/CSV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Documented SDLC, configurable controls, audit trail, electronic signature and exportable evidence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Chemistry, microbiology, stability, LES, specifications, calculations and reporting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Integration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REST/SFTP/message-queue support for SAP, eQMS, CDS and instruments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Customer ownership, complete export, migration tools, archive compatibility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Security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Dedicated tenant, encryption, SSO/MFA, vulnerability and incident management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Service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24×7 critical support, formal change notice, RTO/RPO and termination assistance</w:t>
            </w:r>
          </w:p>
        </w:tc>
      </w:tr>
    </w:tbl>
    <w:p>
      <w:pPr>
        <w:spacing w:after="80"/>
      </w:pPr>
    </w:p>
    <w:p>
      <w:pPr>
        <w:pStyle w:val="Heading1"/>
      </w:pPr>
      <w:r>
        <w:t>3. Product evaluation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864"/>
        <w:gridCol w:w="1296"/>
        <w:gridCol w:w="2592"/>
        <w:gridCol w:w="2016"/>
      </w:tblGrid>
      <w:tr>
        <w:trPr>
          <w:tblHeader w:val="true"/>
        </w:trPr>
        <w:tc>
          <w:tcPr>
            <w:tcW w:type="dxa" w:w="25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Criterion</w:t>
            </w:r>
          </w:p>
        </w:tc>
        <w:tc>
          <w:tcPr>
            <w:tcW w:type="dxa" w:w="86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Weight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LabSphere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QualityLab Systems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OmniLIMS Cloud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Functional fit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30%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22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 integrity/Part 11 controls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20%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Integration and migration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15%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11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Supplier quality/validation evidence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15%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Security/service resilience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10%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Commercial/implementation risk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10%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Weighted total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100%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92/100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81/100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76/100</w:t>
            </w:r>
          </w:p>
        </w:tc>
      </w:tr>
    </w:tbl>
    <w:p>
      <w:pPr>
        <w:spacing w:after="80"/>
      </w:pPr>
    </w:p>
    <w:p>
      <w:pPr>
        <w:pStyle w:val="Heading1"/>
      </w:pPr>
      <w:r>
        <w:t>4. Proof-of-concept results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LabSphere demonstrated SAP sample intake, LES sequence enforcement, CDS approved-result transfer, audit trail export, e-signature re-authentication, historical specification retention and a sample migration. Two gaps were identified: standard eQMS connector required custom idempotency logic, and the standard archive export required a site-specific metadata manifest. Both were accepted as controlled custom deliverables.</w:t>
      </w:r>
    </w:p>
    <w:p>
      <w:pPr>
        <w:pStyle w:val="Heading1"/>
      </w:pPr>
      <w:r>
        <w:t>5. Selection decision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LabSphere Technologies Ltd. was selected on 2026-04-15, subject to supplier audit closure and execution of the quality/technical agreement. No product was selected solely on commercial score.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selection score was not based on feature count alone. Mandatory compliance requirements were pass/fail; weighted scoring was applied only after mandatory items were met. Demonstrated audit-trail usability, supplier SDLC maturity, data-export capability, interface robustness and local support model were treated as critical differentiators.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941"/>
        <w:gridCol w:w="5419"/>
      </w:tblGrid>
      <w:tr>
        <w:trPr>
          <w:tblHeader w:val="true"/>
        </w:trPr>
        <w:tc>
          <w:tcPr>
            <w:tcW w:type="dxa" w:w="394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Evaluation dimension</w:t>
            </w:r>
          </w:p>
        </w:tc>
        <w:tc>
          <w:tcPr>
            <w:tcW w:type="dxa" w:w="541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Weighting approach</w:t>
            </w:r>
          </w:p>
        </w:tc>
      </w:tr>
      <w:tr>
        <w:tc>
          <w:tcPr>
            <w:tcW w:type="dxa" w:w="39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Mandatory GxP controls</w:t>
            </w:r>
          </w:p>
        </w:tc>
        <w:tc>
          <w:tcPr>
            <w:tcW w:type="dxa" w:w="5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Pass/fail; failure excludes product from award</w:t>
            </w:r>
          </w:p>
        </w:tc>
      </w:tr>
      <w:tr>
        <w:tc>
          <w:tcPr>
            <w:tcW w:type="dxa" w:w="39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Functional fit</w:t>
            </w:r>
          </w:p>
        </w:tc>
        <w:tc>
          <w:tcPr>
            <w:tcW w:type="dxa" w:w="5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Weighted against QC chemistry, microbiology, stability and LES workflows</w:t>
            </w:r>
          </w:p>
        </w:tc>
      </w:tr>
      <w:tr>
        <w:tc>
          <w:tcPr>
            <w:tcW w:type="dxa" w:w="39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Technical fit</w:t>
            </w:r>
          </w:p>
        </w:tc>
        <w:tc>
          <w:tcPr>
            <w:tcW w:type="dxa" w:w="5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Weighted against interfaces, cloud model, security and data export</w:t>
            </w:r>
          </w:p>
        </w:tc>
      </w:tr>
      <w:tr>
        <w:tc>
          <w:tcPr>
            <w:tcW w:type="dxa" w:w="39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maturity</w:t>
            </w:r>
          </w:p>
        </w:tc>
        <w:tc>
          <w:tcPr>
            <w:tcW w:type="dxa" w:w="5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Weighted using audit evidence, references, SDLC and support history</w:t>
            </w:r>
          </w:p>
        </w:tc>
      </w:tr>
      <w:tr>
        <w:tc>
          <w:tcPr>
            <w:tcW w:type="dxa" w:w="39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cost/risk</w:t>
            </w:r>
          </w:p>
        </w:tc>
        <w:tc>
          <w:tcPr>
            <w:tcW w:type="dxa" w:w="5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Weighted using implementation effort, customisation burden and retirement complexity</w:t>
            </w:r>
          </w:p>
        </w:tc>
      </w:tr>
    </w:tbl>
    <w:p>
      <w:pPr>
        <w:spacing w:after="80"/>
      </w:pP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QCL-2026-CHA-001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Project Charter](005_Project_Charter.md)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QCL-2026-SCP-001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Project Scope Statement](006_Project_Scope_Statement.md)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QCL-2026-IUS-001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Intended Use Statement](007_Intended_Use_Statement.md)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QCL-2026-GXP-001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GxP Impact Assessment](009_GxP_Impact_Assessment.md)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QCL-2026-CLA-001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Classification and Criticality Assessment](010_System_Classification_and_Criticality_Assessment.md)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QCL-2026-SQA-001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Qualification Assessment](018_Supplier_Qualification_Assessment.md)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Audit Report and CAPA](019_Supplier_Audit_Report_and_CAPA.md)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QCL-2026-QTA-001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[Quality/Technical Agreement and Service Level Agreement](020_Quality_Technical_Agreement_and_SLA.md)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QCL-2026-SDL-001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Documentation Leveraging Assessment](021_Supplier_Documentation_Leveraging_Assessment.md)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Specification](023_Functional_Specification.md)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Design Specification](024_System_Design_Specification.md)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33"/>
        <w:gridCol w:w="2692"/>
        <w:gridCol w:w="3335"/>
      </w:tblGrid>
      <w:tr>
        <w:trPr>
          <w:tblHeader w:val="true"/>
        </w:trPr>
        <w:tc>
          <w:tcPr>
            <w:tcW w:type="dxa" w:w="333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6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3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Quality Lead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IT System Owner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2026-04-30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QCL-2026-RFP-001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QCL-2026-RFP-001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RFI, RFP and Product Selection Record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