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Supplier Qualification Assessment</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QCL-2026-SQA-001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Supplier Management</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2026-04-30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QCL-2026-SQA-001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Management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2026-04-30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Supplier</w:t>
      </w:r>
    </w:p>
    <w:p>
      <w:pPr>
        <w:spacing w:after="120" w:line="300" w:lineRule="auto"/>
      </w:pPr>
      <w:r>
        <w:rPr>
          <w:rFonts w:ascii="Calibri" w:hAnsi="Calibri"/>
          <w:b w:val="0"/>
          <w:i w:val="0"/>
          <w:color w:val="000000"/>
          <w:sz w:val="22"/>
        </w:rPr>
        <w:t>Supplier: LabSphere Technologies Ltd. Product/service: LabSphere LIMS/LES 8.4.2 and managed private-cloud service Assessment date: 2026-04-22</w:t>
      </w:r>
    </w:p>
    <w:p>
      <w:pPr>
        <w:pStyle w:val="Heading1"/>
      </w:pPr>
      <w:r>
        <w:t>2. Qualification assessment</w:t>
      </w:r>
    </w:p>
    <w:tbl>
      <w:tblPr>
        <w:tblStyle w:val="TableGrid"/>
        <w:tblW w:type="dxa" w:w="9360"/>
        <w:tblLayout w:type="fixed"/>
        <w:tblLook w:firstColumn="1" w:firstRow="1" w:lastColumn="0" w:lastRow="0" w:noHBand="0" w:noVBand="1" w:val="04A0"/>
        <w:tblInd w:w="120" w:type="dxa"/>
      </w:tblPr>
      <w:tblGrid>
        <w:gridCol w:w="2320"/>
        <w:gridCol w:w="4254"/>
        <w:gridCol w:w="2786"/>
      </w:tblGrid>
      <w:tr>
        <w:trPr>
          <w:tblHeader w:val="true"/>
        </w:trPr>
        <w:tc>
          <w:tcPr>
            <w:tcW w:type="dxa" w:w="232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Domain</w:t>
            </w:r>
          </w:p>
        </w:tc>
        <w:tc>
          <w:tcPr>
            <w:tcW w:type="dxa" w:w="425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Evidence reviewed</w:t>
            </w:r>
          </w:p>
        </w:tc>
        <w:tc>
          <w:tcPr>
            <w:tcW w:type="dxa" w:w="27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Conclusion</w:t>
            </w:r>
          </w:p>
        </w:tc>
      </w:tr>
      <w:tr>
        <w:tc>
          <w:tcPr>
            <w:tcW w:type="dxa" w:w="23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Corporate/QMS governance</w:t>
            </w:r>
          </w:p>
        </w:tc>
        <w:tc>
          <w:tcPr>
            <w:tcW w:type="dxa" w:w="425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Documented quality manual, internal audit, CAPA and management review</w:t>
            </w:r>
          </w:p>
        </w:tc>
        <w:tc>
          <w:tcPr>
            <w:tcW w:type="dxa" w:w="27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Satisfactory</w:t>
            </w:r>
          </w:p>
        </w:tc>
      </w:tr>
      <w:tr>
        <w:tc>
          <w:tcPr>
            <w:tcW w:type="dxa" w:w="23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Software development lifecycle</w:t>
            </w:r>
          </w:p>
        </w:tc>
        <w:tc>
          <w:tcPr>
            <w:tcW w:type="dxa" w:w="425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Requirements, design, code review, automated/manual test, release and configuration management</w:t>
            </w:r>
          </w:p>
        </w:tc>
        <w:tc>
          <w:tcPr>
            <w:tcW w:type="dxa" w:w="27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Satisfactory</w:t>
            </w:r>
          </w:p>
        </w:tc>
      </w:tr>
      <w:tr>
        <w:tc>
          <w:tcPr>
            <w:tcW w:type="dxa" w:w="23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Validation documentation</w:t>
            </w:r>
          </w:p>
        </w:tc>
        <w:tc>
          <w:tcPr>
            <w:tcW w:type="dxa" w:w="425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Product description, release qualification, traceability and test summaries available</w:t>
            </w:r>
          </w:p>
        </w:tc>
        <w:tc>
          <w:tcPr>
            <w:tcW w:type="dxa" w:w="27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Satisfactory</w:t>
            </w:r>
          </w:p>
        </w:tc>
      </w:tr>
      <w:tr>
        <w:tc>
          <w:tcPr>
            <w:tcW w:type="dxa" w:w="23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Cloud operations</w:t>
            </w:r>
          </w:p>
        </w:tc>
        <w:tc>
          <w:tcPr>
            <w:tcW w:type="dxa" w:w="425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Dedicated tenant controls, monitoring, backup, DR and capacity management</w:t>
            </w:r>
          </w:p>
        </w:tc>
        <w:tc>
          <w:tcPr>
            <w:tcW w:type="dxa" w:w="27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Satisfactory</w:t>
            </w:r>
          </w:p>
        </w:tc>
      </w:tr>
      <w:tr>
        <w:tc>
          <w:tcPr>
            <w:tcW w:type="dxa" w:w="23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Information security</w:t>
            </w:r>
          </w:p>
        </w:tc>
        <w:tc>
          <w:tcPr>
            <w:tcW w:type="dxa" w:w="425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ISO 27001 certificate, annual penetration test, vulnerability and incident process</w:t>
            </w:r>
          </w:p>
        </w:tc>
        <w:tc>
          <w:tcPr>
            <w:tcW w:type="dxa" w:w="27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Satisfactory with agreement controls</w:t>
            </w:r>
          </w:p>
        </w:tc>
      </w:tr>
      <w:tr>
        <w:tc>
          <w:tcPr>
            <w:tcW w:type="dxa" w:w="23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ownership/export</w:t>
            </w:r>
          </w:p>
        </w:tc>
        <w:tc>
          <w:tcPr>
            <w:tcW w:type="dxa" w:w="425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Contract confirms customer ownership and complete export at termination</w:t>
            </w:r>
          </w:p>
        </w:tc>
        <w:tc>
          <w:tcPr>
            <w:tcW w:type="dxa" w:w="27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Satisfactory</w:t>
            </w:r>
          </w:p>
        </w:tc>
      </w:tr>
      <w:tr>
        <w:tc>
          <w:tcPr>
            <w:tcW w:type="dxa" w:w="23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Subcontractor control</w:t>
            </w:r>
          </w:p>
        </w:tc>
        <w:tc>
          <w:tcPr>
            <w:tcW w:type="dxa" w:w="425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Cloud infrastructure subcontractors listed and change-notified</w:t>
            </w:r>
          </w:p>
        </w:tc>
        <w:tc>
          <w:tcPr>
            <w:tcW w:type="dxa" w:w="27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Satisfactory</w:t>
            </w:r>
          </w:p>
        </w:tc>
      </w:tr>
      <w:tr>
        <w:tc>
          <w:tcPr>
            <w:tcW w:type="dxa" w:w="23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Support/change notification</w:t>
            </w:r>
          </w:p>
        </w:tc>
        <w:tc>
          <w:tcPr>
            <w:tcW w:type="dxa" w:w="425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24×7 critical support; 90-day planned change notice proposed</w:t>
            </w:r>
          </w:p>
        </w:tc>
        <w:tc>
          <w:tcPr>
            <w:tcW w:type="dxa" w:w="27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Satisfactory</w:t>
            </w:r>
          </w:p>
        </w:tc>
      </w:tr>
      <w:tr>
        <w:tc>
          <w:tcPr>
            <w:tcW w:type="dxa" w:w="23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continuity</w:t>
            </w:r>
          </w:p>
        </w:tc>
        <w:tc>
          <w:tcPr>
            <w:tcW w:type="dxa" w:w="425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Annual DR test; application-layer evidence to be improved</w:t>
            </w:r>
          </w:p>
        </w:tc>
        <w:tc>
          <w:tcPr>
            <w:tcW w:type="dxa" w:w="27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Conditional—audited CAPA</w:t>
            </w:r>
          </w:p>
        </w:tc>
      </w:tr>
      <w:tr>
        <w:tc>
          <w:tcPr>
            <w:tcW w:type="dxa" w:w="232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Regulatory inspection support</w:t>
            </w:r>
          </w:p>
        </w:tc>
        <w:tc>
          <w:tcPr>
            <w:tcW w:type="dxa" w:w="425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Records and SME availability under quality agreement</w:t>
            </w:r>
          </w:p>
        </w:tc>
        <w:tc>
          <w:tcPr>
            <w:tcW w:type="dxa" w:w="27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Satisfactory</w:t>
            </w:r>
          </w:p>
        </w:tc>
      </w:tr>
    </w:tbl>
    <w:p>
      <w:pPr>
        <w:spacing w:after="80"/>
      </w:pPr>
    </w:p>
    <w:p>
      <w:pPr>
        <w:pStyle w:val="Heading1"/>
      </w:pPr>
      <w:r>
        <w:t>3. Risk rating</w:t>
      </w:r>
    </w:p>
    <w:p>
      <w:pPr>
        <w:spacing w:after="120" w:line="300" w:lineRule="auto"/>
      </w:pPr>
      <w:r>
        <w:rPr>
          <w:rFonts w:ascii="Calibri" w:hAnsi="Calibri"/>
          <w:b w:val="0"/>
          <w:i w:val="0"/>
          <w:color w:val="000000"/>
          <w:sz w:val="22"/>
        </w:rPr>
        <w:t>The supplier is classified Critical GxP Service Provider because it hosts the application and database and can influence availability, configuration and security. Supplier failure could affect required records and QC operations.</w:t>
      </w:r>
    </w:p>
    <w:p>
      <w:pPr>
        <w:pStyle w:val="Heading1"/>
      </w:pPr>
      <w:r>
        <w:t>4. Qualification decision</w:t>
      </w:r>
    </w:p>
    <w:p>
      <w:pPr>
        <w:spacing w:after="120" w:line="300" w:lineRule="auto"/>
      </w:pPr>
      <w:r>
        <w:rPr>
          <w:rFonts w:ascii="Calibri" w:hAnsi="Calibri"/>
          <w:b w:val="0"/>
          <w:i w:val="0"/>
          <w:color w:val="000000"/>
          <w:sz w:val="22"/>
        </w:rPr>
        <w:t>Conditionally approved, subject to: 1. closure or accepted plan for supplier audit findings; 2. signed quality/technical agreement; 3. customer approval for production remote access; 4. documented change/security incident notifications; 5. annual supplier performance review.</w:t>
      </w:r>
    </w:p>
    <w:p>
      <w:pPr>
        <w:spacing w:after="120" w:line="300" w:lineRule="auto"/>
      </w:pPr>
      <w:r>
        <w:rPr>
          <w:rFonts w:ascii="Calibri" w:hAnsi="Calibri"/>
          <w:b w:val="0"/>
          <w:i w:val="0"/>
          <w:color w:val="000000"/>
          <w:sz w:val="22"/>
        </w:rPr>
        <w:t>Supplier qualification remains valid only for the assessed product version, hosting model and service scope. Material supplier changes, major platform upgrade, unresolved critical security issue, ownership change or repeated SLA failure shall trigger requalification or enhanced oversight. Supplier-provided validation evidence is accepted only after relevance and independence are assessed in the leveraging record.</w:t>
      </w:r>
    </w:p>
    <w:tbl>
      <w:tblPr>
        <w:tblStyle w:val="TableGrid"/>
        <w:tblW w:type="dxa" w:w="9360"/>
        <w:tblLayout w:type="fixed"/>
        <w:tblLook w:firstColumn="1" w:firstRow="1" w:lastColumn="0" w:lastRow="0" w:noHBand="0" w:noVBand="1" w:val="04A0"/>
        <w:tblInd w:w="120" w:type="dxa"/>
      </w:tblPr>
      <w:tblGrid>
        <w:gridCol w:w="4457"/>
        <w:gridCol w:w="4903"/>
      </w:tblGrid>
      <w:tr>
        <w:trPr>
          <w:tblHeader w:val="true"/>
        </w:trPr>
        <w:tc>
          <w:tcPr>
            <w:tcW w:type="dxa" w:w="4457"/>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Ongoing oversight trigger</w:t>
            </w:r>
          </w:p>
        </w:tc>
        <w:tc>
          <w:tcPr>
            <w:tcW w:type="dxa" w:w="490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Required action</w:t>
            </w:r>
          </w:p>
        </w:tc>
      </w:tr>
      <w:tr>
        <w:tc>
          <w:tcPr>
            <w:tcW w:type="dxa" w:w="44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Major release or architecture change</w:t>
            </w:r>
          </w:p>
        </w:tc>
        <w:tc>
          <w:tcPr>
            <w:tcW w:type="dxa" w:w="49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change impact assessment and regression strategy</w:t>
            </w:r>
          </w:p>
        </w:tc>
      </w:tr>
      <w:tr>
        <w:tc>
          <w:tcPr>
            <w:tcW w:type="dxa" w:w="44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Critical/high security notification</w:t>
            </w:r>
          </w:p>
        </w:tc>
        <w:tc>
          <w:tcPr>
            <w:tcW w:type="dxa" w:w="49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GxP and data-integrity impact assessment within the agreed SLA</w:t>
            </w:r>
          </w:p>
        </w:tc>
      </w:tr>
      <w:tr>
        <w:tc>
          <w:tcPr>
            <w:tcW w:type="dxa" w:w="44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Repeated SLA miss</w:t>
            </w:r>
          </w:p>
        </w:tc>
        <w:tc>
          <w:tcPr>
            <w:tcW w:type="dxa" w:w="49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performance review and corrective action</w:t>
            </w:r>
          </w:p>
        </w:tc>
      </w:tr>
      <w:tr>
        <w:tc>
          <w:tcPr>
            <w:tcW w:type="dxa" w:w="44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Audit CAPA overdue</w:t>
            </w:r>
          </w:p>
        </w:tc>
        <w:tc>
          <w:tcPr>
            <w:tcW w:type="dxa" w:w="49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escalation and decision on validation/release impact</w:t>
            </w:r>
          </w:p>
        </w:tc>
      </w:tr>
      <w:tr>
        <w:tc>
          <w:tcPr>
            <w:tcW w:type="dxa" w:w="4457"/>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Support model change</w:t>
            </w:r>
          </w:p>
        </w:tc>
        <w:tc>
          <w:tcPr>
            <w:tcW w:type="dxa" w:w="49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Update quality/technical agreement and contact matrix</w:t>
            </w:r>
          </w:p>
        </w:tc>
      </w:tr>
    </w:tbl>
    <w:p>
      <w:pPr>
        <w:spacing w:after="80"/>
      </w:pPr>
    </w:p>
    <w:p>
      <w:pPr>
        <w:pStyle w:val="Heading1"/>
      </w:pPr>
      <w:r>
        <w:t>5.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QCL-2026-RFP-001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[RFI, RFP and Product Selection Record](017_RFI_RFP_and_Product_Selection_Record.md)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QCL-2026-CLA-001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Classification and Criticality Assessment](010_System_Classification_and_Criticality_Assessment.md)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QCL-2026-CYB-001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[Cybersecurity and Privacy Impact Assessment](014_Cybersecurity_and_Privacy_Impact_Assessment.md)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QCL-2026-SAR-001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Audit Report and CAPA](019_Supplier_Audit_Report_and_CAPA.md)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QCL-2026-QTA-001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[Quality/Technical Agreement and Service Level Agreement](020_Quality_Technical_Agreement_and_SLA.md)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QCL-2026-SDL-001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Documentation Leveraging Assessment](021_Supplier_Documentation_Leveraging_Assessment.md)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QCL-2026-FAT-001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[Factory Acceptance Test Protocol and Report](044_Factory_Acceptance_Test_Protocol_and_Report.md)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333"/>
        <w:gridCol w:w="2692"/>
        <w:gridCol w:w="3335"/>
      </w:tblGrid>
      <w:tr>
        <w:trPr>
          <w:tblHeader w:val="true"/>
        </w:trPr>
        <w:tc>
          <w:tcPr>
            <w:tcW w:type="dxa" w:w="333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69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33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Supplier Quality Lead</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IT System Owner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33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69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Validation Manager</w:t>
            </w:r>
          </w:p>
        </w:tc>
        <w:tc>
          <w:tcPr>
            <w:tcW w:type="dxa" w:w="333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2026-04-30</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QCL-2026-SQA-001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QCL-2026-SQA-001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Qualification Assessment</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